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71008" w14:textId="77777777" w:rsidR="00200F58" w:rsidRPr="00391646" w:rsidRDefault="00200F58" w:rsidP="00200F58">
      <w:pPr>
        <w:jc w:val="center"/>
        <w:rPr>
          <w:rFonts w:ascii="Arial" w:hAnsi="Arial" w:cs="Arial"/>
          <w:szCs w:val="24"/>
        </w:rPr>
      </w:pPr>
      <w:r w:rsidRPr="00391646">
        <w:rPr>
          <w:rFonts w:ascii="Arial" w:hAnsi="Arial" w:cs="Arial"/>
          <w:noProof/>
          <w:szCs w:val="24"/>
          <w:lang w:eastAsia="en-GB"/>
        </w:rPr>
        <w:drawing>
          <wp:inline distT="0" distB="0" distL="0" distR="0" wp14:anchorId="71AB0223" wp14:editId="487DDA0C">
            <wp:extent cx="1901956" cy="926594"/>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hil View Logo.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1956" cy="926594"/>
                    </a:xfrm>
                    <a:prstGeom prst="rect">
                      <a:avLst/>
                    </a:prstGeom>
                  </pic:spPr>
                </pic:pic>
              </a:graphicData>
            </a:graphic>
          </wp:inline>
        </w:drawing>
      </w:r>
    </w:p>
    <w:p w14:paraId="1CDEEE95" w14:textId="77777777" w:rsidR="00200F58" w:rsidRPr="00391646" w:rsidRDefault="00200F58" w:rsidP="00200F58">
      <w:pPr>
        <w:rPr>
          <w:rFonts w:ascii="Arial" w:hAnsi="Arial" w:cs="Arial"/>
          <w:b/>
          <w:szCs w:val="24"/>
          <w:u w:val="single"/>
        </w:rPr>
      </w:pPr>
    </w:p>
    <w:p w14:paraId="2F737E48" w14:textId="1537B907" w:rsidR="00200F58" w:rsidRPr="00391646" w:rsidRDefault="00200F58" w:rsidP="00200F58">
      <w:pPr>
        <w:jc w:val="center"/>
        <w:rPr>
          <w:rFonts w:ascii="Arial" w:hAnsi="Arial" w:cs="Arial"/>
          <w:b/>
          <w:szCs w:val="24"/>
          <w:u w:val="single"/>
        </w:rPr>
      </w:pPr>
      <w:r>
        <w:rPr>
          <w:rFonts w:ascii="Arial" w:hAnsi="Arial" w:cs="Arial"/>
          <w:b/>
          <w:szCs w:val="24"/>
          <w:u w:val="single"/>
        </w:rPr>
        <w:t>REPORT TO CUSTOMER SERVICES COMMITTEE MEETING OF</w:t>
      </w:r>
      <w:r w:rsidR="00350D15">
        <w:rPr>
          <w:rFonts w:ascii="Arial" w:hAnsi="Arial" w:cs="Arial"/>
          <w:b/>
          <w:szCs w:val="24"/>
          <w:u w:val="single"/>
        </w:rPr>
        <w:t xml:space="preserve"> </w:t>
      </w:r>
      <w:r w:rsidR="00224D65">
        <w:rPr>
          <w:rFonts w:ascii="Arial" w:hAnsi="Arial" w:cs="Arial"/>
          <w:b/>
          <w:szCs w:val="24"/>
          <w:u w:val="single"/>
        </w:rPr>
        <w:t>20</w:t>
      </w:r>
      <w:r w:rsidR="00224D65" w:rsidRPr="00224D65">
        <w:rPr>
          <w:rFonts w:ascii="Arial" w:hAnsi="Arial" w:cs="Arial"/>
          <w:b/>
          <w:szCs w:val="24"/>
          <w:u w:val="single"/>
          <w:vertAlign w:val="superscript"/>
        </w:rPr>
        <w:t>TH</w:t>
      </w:r>
      <w:r w:rsidR="00224D65">
        <w:rPr>
          <w:rFonts w:ascii="Arial" w:hAnsi="Arial" w:cs="Arial"/>
          <w:b/>
          <w:szCs w:val="24"/>
          <w:u w:val="single"/>
        </w:rPr>
        <w:t xml:space="preserve"> FEBRUARY 2025</w:t>
      </w:r>
    </w:p>
    <w:p w14:paraId="60B9627A" w14:textId="77777777" w:rsidR="00200F58" w:rsidRPr="00391646" w:rsidRDefault="00200F58" w:rsidP="00200F58">
      <w:pPr>
        <w:rPr>
          <w:rFonts w:ascii="Arial" w:hAnsi="Arial" w:cs="Arial"/>
          <w:szCs w:val="24"/>
        </w:rPr>
      </w:pPr>
    </w:p>
    <w:p w14:paraId="795C5396" w14:textId="5125E158" w:rsidR="00200F58" w:rsidRPr="00391646" w:rsidRDefault="00200F58" w:rsidP="00200F58">
      <w:pPr>
        <w:pStyle w:val="ListParagraph"/>
        <w:numPr>
          <w:ilvl w:val="0"/>
          <w:numId w:val="1"/>
        </w:numPr>
        <w:ind w:left="567" w:hanging="567"/>
        <w:rPr>
          <w:rFonts w:ascii="Arial" w:hAnsi="Arial" w:cs="Arial"/>
          <w:b/>
          <w:szCs w:val="24"/>
          <w:u w:val="single"/>
        </w:rPr>
      </w:pPr>
      <w:r w:rsidRPr="00391646">
        <w:rPr>
          <w:rFonts w:ascii="Arial" w:hAnsi="Arial" w:cs="Arial"/>
          <w:b/>
          <w:szCs w:val="24"/>
          <w:u w:val="single"/>
        </w:rPr>
        <w:t>SUBJECT</w:t>
      </w:r>
      <w:r w:rsidRPr="00391646">
        <w:rPr>
          <w:rFonts w:ascii="Arial" w:hAnsi="Arial" w:cs="Arial"/>
          <w:szCs w:val="24"/>
        </w:rPr>
        <w:t xml:space="preserve">: </w:t>
      </w:r>
      <w:r>
        <w:rPr>
          <w:rFonts w:ascii="Arial" w:hAnsi="Arial" w:cs="Arial"/>
          <w:szCs w:val="24"/>
        </w:rPr>
        <w:tab/>
        <w:t>Complaints and Feedback 202</w:t>
      </w:r>
      <w:r w:rsidR="007F543C">
        <w:rPr>
          <w:rFonts w:ascii="Arial" w:hAnsi="Arial" w:cs="Arial"/>
          <w:szCs w:val="24"/>
        </w:rPr>
        <w:t>4-25</w:t>
      </w:r>
      <w:r>
        <w:rPr>
          <w:rFonts w:ascii="Arial" w:hAnsi="Arial" w:cs="Arial"/>
          <w:szCs w:val="24"/>
        </w:rPr>
        <w:t xml:space="preserve"> (Q</w:t>
      </w:r>
      <w:r w:rsidR="00224D65">
        <w:rPr>
          <w:rFonts w:ascii="Arial" w:hAnsi="Arial" w:cs="Arial"/>
          <w:szCs w:val="24"/>
        </w:rPr>
        <w:t>3</w:t>
      </w:r>
      <w:r>
        <w:rPr>
          <w:rFonts w:ascii="Arial" w:hAnsi="Arial" w:cs="Arial"/>
          <w:szCs w:val="24"/>
        </w:rPr>
        <w:t>)</w:t>
      </w:r>
    </w:p>
    <w:p w14:paraId="05C5AF7D" w14:textId="77777777" w:rsidR="00200F58" w:rsidRPr="00391646" w:rsidRDefault="00200F58" w:rsidP="00200F58">
      <w:pPr>
        <w:pStyle w:val="ListParagraph"/>
        <w:ind w:left="567"/>
        <w:rPr>
          <w:rFonts w:ascii="Arial" w:hAnsi="Arial" w:cs="Arial"/>
          <w:b/>
          <w:szCs w:val="24"/>
          <w:u w:val="single"/>
        </w:rPr>
      </w:pPr>
    </w:p>
    <w:p w14:paraId="19B48961" w14:textId="77777777" w:rsidR="00200F58" w:rsidRPr="00391646" w:rsidRDefault="00200F58" w:rsidP="00200F58">
      <w:pPr>
        <w:pStyle w:val="ListParagraph"/>
        <w:numPr>
          <w:ilvl w:val="0"/>
          <w:numId w:val="1"/>
        </w:numPr>
        <w:ind w:left="567" w:hanging="567"/>
        <w:rPr>
          <w:rFonts w:ascii="Arial" w:hAnsi="Arial" w:cs="Arial"/>
          <w:b/>
          <w:szCs w:val="24"/>
          <w:u w:val="single"/>
        </w:rPr>
      </w:pPr>
      <w:r w:rsidRPr="00391646">
        <w:rPr>
          <w:rFonts w:ascii="Arial" w:hAnsi="Arial" w:cs="Arial"/>
          <w:b/>
          <w:szCs w:val="24"/>
          <w:u w:val="single"/>
        </w:rPr>
        <w:t>PURPOSE</w:t>
      </w:r>
    </w:p>
    <w:p w14:paraId="3E071F50" w14:textId="77777777" w:rsidR="00200F58" w:rsidRPr="00391646" w:rsidRDefault="00200F58" w:rsidP="00200F58">
      <w:pPr>
        <w:pStyle w:val="ListParagraph"/>
        <w:ind w:left="567"/>
        <w:rPr>
          <w:rFonts w:ascii="Arial" w:hAnsi="Arial" w:cs="Arial"/>
          <w:b/>
          <w:szCs w:val="24"/>
          <w:u w:val="single"/>
        </w:rPr>
      </w:pPr>
    </w:p>
    <w:p w14:paraId="32490812" w14:textId="5EC8F9BF" w:rsidR="00200F58" w:rsidRDefault="00200F58" w:rsidP="00200F58">
      <w:pPr>
        <w:ind w:left="567"/>
        <w:rPr>
          <w:rFonts w:ascii="Arial" w:hAnsi="Arial" w:cs="Arial"/>
          <w:szCs w:val="24"/>
        </w:rPr>
      </w:pPr>
      <w:r>
        <w:rPr>
          <w:rFonts w:ascii="Arial" w:hAnsi="Arial" w:cs="Arial"/>
          <w:szCs w:val="24"/>
        </w:rPr>
        <w:t>The</w:t>
      </w:r>
      <w:r w:rsidRPr="00391646">
        <w:rPr>
          <w:rFonts w:ascii="Arial" w:hAnsi="Arial" w:cs="Arial"/>
          <w:szCs w:val="24"/>
        </w:rPr>
        <w:t xml:space="preserve"> </w:t>
      </w:r>
      <w:r>
        <w:rPr>
          <w:rFonts w:ascii="Arial" w:hAnsi="Arial" w:cs="Arial"/>
          <w:szCs w:val="24"/>
        </w:rPr>
        <w:t xml:space="preserve">purpose of this report is to advise the Committee of Complaints and Feedback received and recorded </w:t>
      </w:r>
      <w:r w:rsidR="00866B92">
        <w:rPr>
          <w:rFonts w:ascii="Arial" w:hAnsi="Arial" w:cs="Arial"/>
          <w:szCs w:val="24"/>
        </w:rPr>
        <w:t xml:space="preserve">to the end of </w:t>
      </w:r>
      <w:r>
        <w:rPr>
          <w:rFonts w:ascii="Arial" w:hAnsi="Arial" w:cs="Arial"/>
          <w:szCs w:val="24"/>
        </w:rPr>
        <w:t>Q</w:t>
      </w:r>
      <w:r w:rsidR="00224D65">
        <w:rPr>
          <w:rFonts w:ascii="Arial" w:hAnsi="Arial" w:cs="Arial"/>
          <w:szCs w:val="24"/>
        </w:rPr>
        <w:t>3</w:t>
      </w:r>
      <w:r w:rsidR="00BE105F">
        <w:rPr>
          <w:rFonts w:ascii="Arial" w:hAnsi="Arial" w:cs="Arial"/>
          <w:szCs w:val="24"/>
        </w:rPr>
        <w:t xml:space="preserve"> </w:t>
      </w:r>
      <w:r>
        <w:rPr>
          <w:rFonts w:ascii="Arial" w:hAnsi="Arial" w:cs="Arial"/>
          <w:szCs w:val="24"/>
        </w:rPr>
        <w:t>of 202</w:t>
      </w:r>
      <w:r w:rsidR="004A204A">
        <w:rPr>
          <w:rFonts w:ascii="Arial" w:hAnsi="Arial" w:cs="Arial"/>
          <w:szCs w:val="24"/>
        </w:rPr>
        <w:t>4</w:t>
      </w:r>
      <w:r w:rsidR="007F543C">
        <w:rPr>
          <w:rFonts w:ascii="Arial" w:hAnsi="Arial" w:cs="Arial"/>
          <w:szCs w:val="24"/>
        </w:rPr>
        <w:t>-25</w:t>
      </w:r>
      <w:r>
        <w:rPr>
          <w:rFonts w:ascii="Arial" w:hAnsi="Arial" w:cs="Arial"/>
          <w:szCs w:val="24"/>
        </w:rPr>
        <w:t xml:space="preserve"> in relation to the Association’s services, and thereby meet the commitment set out in the Complaints Handling Procedure to report on the Association’s performance in the management of complaints and </w:t>
      </w:r>
      <w:r w:rsidR="00D73999">
        <w:rPr>
          <w:rFonts w:ascii="Arial" w:hAnsi="Arial" w:cs="Arial"/>
          <w:szCs w:val="24"/>
        </w:rPr>
        <w:t xml:space="preserve">to </w:t>
      </w:r>
      <w:r>
        <w:rPr>
          <w:rFonts w:ascii="Arial" w:hAnsi="Arial" w:cs="Arial"/>
          <w:szCs w:val="24"/>
        </w:rPr>
        <w:t>demonstrate that the Association is learning, where possible, from complaints.</w:t>
      </w:r>
    </w:p>
    <w:p w14:paraId="36C7635F" w14:textId="0BE9F0E1" w:rsidR="00200F58" w:rsidRDefault="00200F58" w:rsidP="00200F58">
      <w:pPr>
        <w:ind w:left="567"/>
        <w:rPr>
          <w:rFonts w:ascii="Arial" w:hAnsi="Arial" w:cs="Arial"/>
          <w:b/>
          <w:szCs w:val="24"/>
        </w:rPr>
      </w:pPr>
    </w:p>
    <w:p w14:paraId="1A3BFC45" w14:textId="77777777" w:rsidR="00200F58" w:rsidRPr="00391646" w:rsidRDefault="00200F58" w:rsidP="00200F58">
      <w:pPr>
        <w:pStyle w:val="ListParagraph"/>
        <w:numPr>
          <w:ilvl w:val="0"/>
          <w:numId w:val="1"/>
        </w:numPr>
        <w:ind w:left="567" w:hanging="567"/>
        <w:rPr>
          <w:rFonts w:ascii="Arial" w:hAnsi="Arial" w:cs="Arial"/>
          <w:b/>
          <w:szCs w:val="24"/>
        </w:rPr>
      </w:pPr>
      <w:r w:rsidRPr="00391646">
        <w:rPr>
          <w:rFonts w:ascii="Arial" w:hAnsi="Arial" w:cs="Arial"/>
          <w:b/>
          <w:szCs w:val="24"/>
          <w:u w:val="single"/>
        </w:rPr>
        <w:t>RECOMMENDATIONS</w:t>
      </w:r>
    </w:p>
    <w:p w14:paraId="0A49A4DB" w14:textId="77777777" w:rsidR="00200F58" w:rsidRPr="00391646" w:rsidRDefault="00200F58" w:rsidP="00200F58">
      <w:pPr>
        <w:rPr>
          <w:rFonts w:ascii="Arial" w:hAnsi="Arial" w:cs="Arial"/>
          <w:b/>
          <w:szCs w:val="24"/>
        </w:rPr>
      </w:pPr>
    </w:p>
    <w:p w14:paraId="46462B77" w14:textId="77777777" w:rsidR="00200F58" w:rsidRDefault="00200F58" w:rsidP="00200F58">
      <w:pPr>
        <w:ind w:left="567"/>
        <w:rPr>
          <w:rFonts w:ascii="Arial" w:hAnsi="Arial" w:cs="Arial"/>
          <w:szCs w:val="24"/>
        </w:rPr>
      </w:pPr>
      <w:r>
        <w:rPr>
          <w:rFonts w:ascii="Arial" w:hAnsi="Arial" w:cs="Arial"/>
          <w:szCs w:val="24"/>
        </w:rPr>
        <w:t>It is recommended that the Customer Services Committee:</w:t>
      </w:r>
    </w:p>
    <w:p w14:paraId="0CFE6021" w14:textId="77777777" w:rsidR="00200F58" w:rsidRDefault="00200F58" w:rsidP="00200F58">
      <w:pPr>
        <w:ind w:left="567"/>
        <w:rPr>
          <w:rFonts w:ascii="Arial" w:hAnsi="Arial" w:cs="Arial"/>
          <w:szCs w:val="24"/>
        </w:rPr>
      </w:pPr>
    </w:p>
    <w:p w14:paraId="15BA9B0C" w14:textId="380CC715" w:rsidR="00200F58" w:rsidRPr="006B1138" w:rsidRDefault="00200F58" w:rsidP="00200F58">
      <w:pPr>
        <w:pStyle w:val="ListParagraph"/>
        <w:numPr>
          <w:ilvl w:val="0"/>
          <w:numId w:val="4"/>
        </w:numPr>
        <w:ind w:left="993"/>
        <w:rPr>
          <w:rFonts w:ascii="Arial" w:hAnsi="Arial" w:cs="Arial"/>
          <w:b/>
          <w:szCs w:val="24"/>
        </w:rPr>
      </w:pPr>
      <w:r>
        <w:rPr>
          <w:rFonts w:ascii="Arial" w:hAnsi="Arial" w:cs="Arial"/>
          <w:b/>
          <w:bCs/>
          <w:i/>
          <w:iCs/>
          <w:szCs w:val="24"/>
        </w:rPr>
        <w:t>note the</w:t>
      </w:r>
      <w:r w:rsidRPr="006B1138">
        <w:rPr>
          <w:rFonts w:ascii="Arial" w:hAnsi="Arial" w:cs="Arial"/>
          <w:b/>
          <w:bCs/>
          <w:i/>
          <w:iCs/>
          <w:szCs w:val="24"/>
        </w:rPr>
        <w:t xml:space="preserve"> Associations performance </w:t>
      </w:r>
      <w:r>
        <w:rPr>
          <w:rFonts w:ascii="Arial" w:hAnsi="Arial" w:cs="Arial"/>
          <w:b/>
          <w:bCs/>
          <w:i/>
          <w:iCs/>
          <w:szCs w:val="24"/>
        </w:rPr>
        <w:t>for</w:t>
      </w:r>
      <w:r w:rsidR="007F543C">
        <w:rPr>
          <w:rFonts w:ascii="Arial" w:hAnsi="Arial" w:cs="Arial"/>
          <w:b/>
          <w:bCs/>
          <w:i/>
          <w:iCs/>
          <w:szCs w:val="24"/>
        </w:rPr>
        <w:t xml:space="preserve"> Q</w:t>
      </w:r>
      <w:r w:rsidR="00224D65">
        <w:rPr>
          <w:rFonts w:ascii="Arial" w:hAnsi="Arial" w:cs="Arial"/>
          <w:b/>
          <w:bCs/>
          <w:i/>
          <w:iCs/>
          <w:szCs w:val="24"/>
        </w:rPr>
        <w:t>3</w:t>
      </w:r>
      <w:r w:rsidR="007F543C">
        <w:rPr>
          <w:rFonts w:ascii="Arial" w:hAnsi="Arial" w:cs="Arial"/>
          <w:b/>
          <w:bCs/>
          <w:i/>
          <w:iCs/>
          <w:szCs w:val="24"/>
        </w:rPr>
        <w:t xml:space="preserve"> of </w:t>
      </w:r>
      <w:r w:rsidR="00350D15">
        <w:rPr>
          <w:rFonts w:ascii="Arial" w:hAnsi="Arial" w:cs="Arial"/>
          <w:b/>
          <w:bCs/>
          <w:i/>
          <w:iCs/>
          <w:szCs w:val="24"/>
        </w:rPr>
        <w:t>2024</w:t>
      </w:r>
      <w:r w:rsidR="007F543C">
        <w:rPr>
          <w:rFonts w:ascii="Arial" w:hAnsi="Arial" w:cs="Arial"/>
          <w:b/>
          <w:bCs/>
          <w:i/>
          <w:iCs/>
          <w:szCs w:val="24"/>
        </w:rPr>
        <w:t>-25</w:t>
      </w:r>
      <w:r w:rsidR="00350D15">
        <w:rPr>
          <w:rFonts w:ascii="Arial" w:hAnsi="Arial" w:cs="Arial"/>
          <w:b/>
          <w:bCs/>
          <w:i/>
          <w:iCs/>
          <w:szCs w:val="24"/>
        </w:rPr>
        <w:t xml:space="preserve"> </w:t>
      </w:r>
      <w:r w:rsidR="00DB3055">
        <w:rPr>
          <w:rFonts w:ascii="Arial" w:hAnsi="Arial" w:cs="Arial"/>
          <w:b/>
          <w:bCs/>
          <w:i/>
          <w:iCs/>
          <w:szCs w:val="24"/>
        </w:rPr>
        <w:t>a</w:t>
      </w:r>
      <w:r w:rsidRPr="006B1138">
        <w:rPr>
          <w:rFonts w:ascii="Arial" w:hAnsi="Arial" w:cs="Arial"/>
          <w:b/>
          <w:bCs/>
          <w:i/>
          <w:iCs/>
          <w:szCs w:val="24"/>
        </w:rPr>
        <w:t>cross several areas</w:t>
      </w:r>
      <w:r w:rsidRPr="006B1138">
        <w:rPr>
          <w:rFonts w:ascii="Arial" w:hAnsi="Arial" w:cs="Arial"/>
          <w:szCs w:val="24"/>
        </w:rPr>
        <w:t>.</w:t>
      </w:r>
    </w:p>
    <w:p w14:paraId="28A67F02" w14:textId="16633544" w:rsidR="00200F58" w:rsidRDefault="00200F58" w:rsidP="00200F58">
      <w:pPr>
        <w:rPr>
          <w:rFonts w:ascii="Arial" w:hAnsi="Arial" w:cs="Arial"/>
          <w:b/>
          <w:szCs w:val="24"/>
        </w:rPr>
      </w:pPr>
    </w:p>
    <w:p w14:paraId="0FD052D2" w14:textId="77777777" w:rsidR="00200F58" w:rsidRPr="004C4DFC" w:rsidRDefault="00200F58" w:rsidP="00200F58">
      <w:pPr>
        <w:pStyle w:val="ListParagraph"/>
        <w:numPr>
          <w:ilvl w:val="0"/>
          <w:numId w:val="1"/>
        </w:numPr>
        <w:ind w:left="567" w:hanging="567"/>
        <w:rPr>
          <w:rFonts w:ascii="Arial" w:hAnsi="Arial" w:cs="Arial"/>
          <w:b/>
          <w:szCs w:val="24"/>
          <w:u w:val="single"/>
        </w:rPr>
      </w:pPr>
      <w:r w:rsidRPr="004C4DFC">
        <w:rPr>
          <w:rFonts w:ascii="Arial" w:hAnsi="Arial" w:cs="Arial"/>
          <w:b/>
          <w:szCs w:val="24"/>
          <w:u w:val="single"/>
        </w:rPr>
        <w:t>COMPLAINTS RECEIVED</w:t>
      </w:r>
    </w:p>
    <w:p w14:paraId="70A0701E" w14:textId="60A04345" w:rsidR="00200F58" w:rsidRPr="00D44F94" w:rsidRDefault="00200F58" w:rsidP="00200F58">
      <w:pPr>
        <w:ind w:left="567"/>
        <w:jc w:val="center"/>
        <w:rPr>
          <w:noProof/>
        </w:rPr>
      </w:pPr>
    </w:p>
    <w:p w14:paraId="7F419E88" w14:textId="7ED11D3C" w:rsidR="000D02BC" w:rsidRPr="00D44F94" w:rsidRDefault="00ED54DD" w:rsidP="00200F58">
      <w:pPr>
        <w:ind w:left="567"/>
        <w:jc w:val="center"/>
        <w:rPr>
          <w:rFonts w:ascii="Arial" w:hAnsi="Arial" w:cs="Arial"/>
          <w:bCs/>
          <w:szCs w:val="24"/>
        </w:rPr>
      </w:pPr>
      <w:r>
        <w:rPr>
          <w:noProof/>
        </w:rPr>
        <w:drawing>
          <wp:inline distT="0" distB="0" distL="0" distR="0" wp14:anchorId="375B7431" wp14:editId="7B01EDAD">
            <wp:extent cx="5615940" cy="3795395"/>
            <wp:effectExtent l="0" t="0" r="3810" b="14605"/>
            <wp:docPr id="1453200206" name="Chart 1">
              <a:extLst xmlns:a="http://schemas.openxmlformats.org/drawingml/2006/main">
                <a:ext uri="{FF2B5EF4-FFF2-40B4-BE49-F238E27FC236}">
                  <a16:creationId xmlns:a16="http://schemas.microsoft.com/office/drawing/2014/main" id="{78A089C5-D9EA-48FD-8EDA-4B82A70E8E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FA2D3A" w14:textId="77777777" w:rsidR="00200F58" w:rsidRPr="00D44F94" w:rsidRDefault="00200F58" w:rsidP="00200F58">
      <w:pPr>
        <w:ind w:left="567"/>
        <w:rPr>
          <w:rFonts w:ascii="Arial" w:hAnsi="Arial" w:cs="Arial"/>
          <w:bCs/>
          <w:szCs w:val="24"/>
        </w:rPr>
      </w:pPr>
    </w:p>
    <w:p w14:paraId="79A5ED7F" w14:textId="10B2426F" w:rsidR="00200F58" w:rsidRPr="009722C7" w:rsidRDefault="00200F58" w:rsidP="00200F58">
      <w:pPr>
        <w:ind w:left="567"/>
        <w:rPr>
          <w:rFonts w:ascii="Arial" w:hAnsi="Arial" w:cs="Arial"/>
          <w:bCs/>
          <w:szCs w:val="24"/>
        </w:rPr>
      </w:pPr>
      <w:r w:rsidRPr="009722C7">
        <w:rPr>
          <w:rFonts w:ascii="Arial" w:hAnsi="Arial" w:cs="Arial"/>
          <w:bCs/>
          <w:szCs w:val="24"/>
        </w:rPr>
        <w:t xml:space="preserve">The table above highlights the overall level of complaints received </w:t>
      </w:r>
      <w:r w:rsidR="00244965">
        <w:rPr>
          <w:rFonts w:ascii="Arial" w:hAnsi="Arial" w:cs="Arial"/>
          <w:bCs/>
          <w:szCs w:val="24"/>
        </w:rPr>
        <w:t xml:space="preserve">to the end of </w:t>
      </w:r>
      <w:r w:rsidR="007F543C">
        <w:rPr>
          <w:rFonts w:ascii="Arial" w:hAnsi="Arial" w:cs="Arial"/>
          <w:bCs/>
          <w:szCs w:val="24"/>
        </w:rPr>
        <w:t>Q</w:t>
      </w:r>
      <w:r w:rsidRPr="009722C7">
        <w:rPr>
          <w:rFonts w:ascii="Arial" w:hAnsi="Arial" w:cs="Arial"/>
          <w:bCs/>
          <w:szCs w:val="24"/>
        </w:rPr>
        <w:t xml:space="preserve">uarter </w:t>
      </w:r>
      <w:r w:rsidR="00ED54DD">
        <w:rPr>
          <w:rFonts w:ascii="Arial" w:hAnsi="Arial" w:cs="Arial"/>
          <w:bCs/>
          <w:szCs w:val="24"/>
        </w:rPr>
        <w:t>3</w:t>
      </w:r>
      <w:r w:rsidR="004C4DFC">
        <w:rPr>
          <w:rFonts w:ascii="Arial" w:hAnsi="Arial" w:cs="Arial"/>
          <w:bCs/>
          <w:szCs w:val="24"/>
        </w:rPr>
        <w:t xml:space="preserve"> </w:t>
      </w:r>
      <w:r w:rsidRPr="009722C7">
        <w:rPr>
          <w:rFonts w:ascii="Arial" w:hAnsi="Arial" w:cs="Arial"/>
          <w:bCs/>
          <w:szCs w:val="24"/>
        </w:rPr>
        <w:t>of 202</w:t>
      </w:r>
      <w:r w:rsidR="00D82FEF">
        <w:rPr>
          <w:rFonts w:ascii="Arial" w:hAnsi="Arial" w:cs="Arial"/>
          <w:bCs/>
          <w:szCs w:val="24"/>
        </w:rPr>
        <w:t>4</w:t>
      </w:r>
      <w:r w:rsidR="007F543C">
        <w:rPr>
          <w:rFonts w:ascii="Arial" w:hAnsi="Arial" w:cs="Arial"/>
          <w:bCs/>
          <w:szCs w:val="24"/>
        </w:rPr>
        <w:t>-25</w:t>
      </w:r>
      <w:r w:rsidR="00244965">
        <w:rPr>
          <w:rFonts w:ascii="Arial" w:hAnsi="Arial" w:cs="Arial"/>
          <w:bCs/>
          <w:szCs w:val="24"/>
        </w:rPr>
        <w:t>,</w:t>
      </w:r>
      <w:r w:rsidRPr="009722C7">
        <w:rPr>
          <w:rFonts w:ascii="Arial" w:hAnsi="Arial" w:cs="Arial"/>
          <w:bCs/>
          <w:szCs w:val="24"/>
        </w:rPr>
        <w:t xml:space="preserve"> compared to the previous 2 years.</w:t>
      </w:r>
    </w:p>
    <w:p w14:paraId="6D9522C3" w14:textId="77777777" w:rsidR="00200F58" w:rsidRPr="009722C7" w:rsidRDefault="00200F58" w:rsidP="00200F58">
      <w:pPr>
        <w:ind w:left="567"/>
        <w:rPr>
          <w:rFonts w:ascii="Arial" w:hAnsi="Arial" w:cs="Arial"/>
          <w:bCs/>
          <w:szCs w:val="24"/>
        </w:rPr>
      </w:pPr>
    </w:p>
    <w:p w14:paraId="0D6375F9" w14:textId="65869996" w:rsidR="00200F58" w:rsidRPr="00393384" w:rsidRDefault="00200F58" w:rsidP="00200F58">
      <w:pPr>
        <w:ind w:left="567"/>
        <w:rPr>
          <w:rFonts w:ascii="Arial" w:hAnsi="Arial" w:cs="Arial"/>
          <w:bCs/>
          <w:szCs w:val="24"/>
        </w:rPr>
      </w:pPr>
      <w:r w:rsidRPr="00213AA4">
        <w:rPr>
          <w:rFonts w:ascii="Arial" w:hAnsi="Arial" w:cs="Arial"/>
          <w:bCs/>
          <w:szCs w:val="24"/>
        </w:rPr>
        <w:lastRenderedPageBreak/>
        <w:t xml:space="preserve">Quarter </w:t>
      </w:r>
      <w:r w:rsidR="00ED54DD" w:rsidRPr="00213AA4">
        <w:rPr>
          <w:rFonts w:ascii="Arial" w:hAnsi="Arial" w:cs="Arial"/>
          <w:bCs/>
          <w:szCs w:val="24"/>
        </w:rPr>
        <w:t>3</w:t>
      </w:r>
      <w:r w:rsidR="009722C7" w:rsidRPr="00213AA4">
        <w:rPr>
          <w:rFonts w:ascii="Arial" w:hAnsi="Arial" w:cs="Arial"/>
          <w:bCs/>
          <w:szCs w:val="24"/>
        </w:rPr>
        <w:t xml:space="preserve"> </w:t>
      </w:r>
      <w:r w:rsidR="001C3518" w:rsidRPr="00213AA4">
        <w:rPr>
          <w:rFonts w:ascii="Arial" w:hAnsi="Arial" w:cs="Arial"/>
          <w:bCs/>
          <w:szCs w:val="24"/>
        </w:rPr>
        <w:t xml:space="preserve">saw </w:t>
      </w:r>
      <w:r w:rsidR="004C4DFC" w:rsidRPr="00213AA4">
        <w:rPr>
          <w:rFonts w:ascii="Arial" w:hAnsi="Arial" w:cs="Arial"/>
          <w:bCs/>
          <w:szCs w:val="24"/>
        </w:rPr>
        <w:t>a</w:t>
      </w:r>
      <w:r w:rsidR="009E6E48" w:rsidRPr="00213AA4">
        <w:rPr>
          <w:rFonts w:ascii="Arial" w:hAnsi="Arial" w:cs="Arial"/>
          <w:bCs/>
          <w:szCs w:val="24"/>
        </w:rPr>
        <w:t xml:space="preserve"> </w:t>
      </w:r>
      <w:r w:rsidR="00213AA4" w:rsidRPr="00213AA4">
        <w:rPr>
          <w:rFonts w:ascii="Arial" w:hAnsi="Arial" w:cs="Arial"/>
          <w:bCs/>
          <w:szCs w:val="24"/>
        </w:rPr>
        <w:t>7% decrease</w:t>
      </w:r>
      <w:r w:rsidR="00244965" w:rsidRPr="00213AA4">
        <w:rPr>
          <w:rFonts w:ascii="Arial" w:hAnsi="Arial" w:cs="Arial"/>
          <w:bCs/>
          <w:szCs w:val="24"/>
        </w:rPr>
        <w:t xml:space="preserve"> in the </w:t>
      </w:r>
      <w:r w:rsidRPr="00213AA4">
        <w:rPr>
          <w:rFonts w:ascii="Arial" w:hAnsi="Arial" w:cs="Arial"/>
          <w:bCs/>
          <w:szCs w:val="24"/>
        </w:rPr>
        <w:t>volume of complaints</w:t>
      </w:r>
      <w:r w:rsidR="000D02BC" w:rsidRPr="00213AA4">
        <w:rPr>
          <w:rFonts w:ascii="Arial" w:hAnsi="Arial" w:cs="Arial"/>
          <w:bCs/>
          <w:szCs w:val="24"/>
        </w:rPr>
        <w:t xml:space="preserve"> </w:t>
      </w:r>
      <w:r w:rsidR="0000094E" w:rsidRPr="00213AA4">
        <w:rPr>
          <w:rFonts w:ascii="Arial" w:hAnsi="Arial" w:cs="Arial"/>
          <w:bCs/>
          <w:szCs w:val="24"/>
        </w:rPr>
        <w:t>across both Housing and Property Services</w:t>
      </w:r>
      <w:r w:rsidR="009E6E48" w:rsidRPr="00213AA4">
        <w:rPr>
          <w:rFonts w:ascii="Arial" w:hAnsi="Arial" w:cs="Arial"/>
          <w:bCs/>
          <w:szCs w:val="24"/>
        </w:rPr>
        <w:t xml:space="preserve"> (Q</w:t>
      </w:r>
      <w:r w:rsidR="00213AA4" w:rsidRPr="00213AA4">
        <w:rPr>
          <w:rFonts w:ascii="Arial" w:hAnsi="Arial" w:cs="Arial"/>
          <w:bCs/>
          <w:szCs w:val="24"/>
        </w:rPr>
        <w:t>3 had seen a 23.5% increase</w:t>
      </w:r>
      <w:r w:rsidR="009E6E48" w:rsidRPr="00213AA4">
        <w:rPr>
          <w:rFonts w:ascii="Arial" w:hAnsi="Arial" w:cs="Arial"/>
          <w:bCs/>
          <w:szCs w:val="24"/>
        </w:rPr>
        <w:t>)</w:t>
      </w:r>
      <w:r w:rsidR="000D02BC" w:rsidRPr="00213AA4">
        <w:rPr>
          <w:rFonts w:ascii="Arial" w:hAnsi="Arial" w:cs="Arial"/>
          <w:bCs/>
          <w:szCs w:val="24"/>
        </w:rPr>
        <w:t xml:space="preserve">. </w:t>
      </w:r>
      <w:r w:rsidR="009722C7" w:rsidRPr="00213AA4">
        <w:rPr>
          <w:rFonts w:ascii="Arial" w:hAnsi="Arial" w:cs="Arial"/>
          <w:bCs/>
          <w:szCs w:val="24"/>
        </w:rPr>
        <w:t xml:space="preserve">Specific </w:t>
      </w:r>
      <w:r w:rsidR="00497AD5" w:rsidRPr="00213AA4">
        <w:rPr>
          <w:rFonts w:ascii="Arial" w:hAnsi="Arial" w:cs="Arial"/>
          <w:bCs/>
          <w:szCs w:val="24"/>
        </w:rPr>
        <w:t xml:space="preserve">reasons for this </w:t>
      </w:r>
      <w:r w:rsidR="009722C7" w:rsidRPr="00213AA4">
        <w:rPr>
          <w:rFonts w:ascii="Arial" w:hAnsi="Arial" w:cs="Arial"/>
          <w:bCs/>
          <w:szCs w:val="24"/>
        </w:rPr>
        <w:t>change</w:t>
      </w:r>
      <w:r w:rsidR="00497AD5" w:rsidRPr="00213AA4">
        <w:rPr>
          <w:rFonts w:ascii="Arial" w:hAnsi="Arial" w:cs="Arial"/>
          <w:bCs/>
          <w:szCs w:val="24"/>
        </w:rPr>
        <w:t xml:space="preserve"> are </w:t>
      </w:r>
      <w:r w:rsidR="0000094E" w:rsidRPr="00213AA4">
        <w:rPr>
          <w:rFonts w:ascii="Arial" w:hAnsi="Arial" w:cs="Arial"/>
          <w:bCs/>
          <w:szCs w:val="24"/>
        </w:rPr>
        <w:t>explained in Section 5.0.</w:t>
      </w:r>
    </w:p>
    <w:p w14:paraId="3BB190EC" w14:textId="77777777" w:rsidR="00200F58" w:rsidRPr="006A488B" w:rsidRDefault="00200F58" w:rsidP="00200F58">
      <w:pPr>
        <w:ind w:left="567"/>
        <w:rPr>
          <w:rFonts w:ascii="Arial" w:hAnsi="Arial" w:cs="Arial"/>
          <w:bCs/>
          <w:szCs w:val="24"/>
        </w:rPr>
      </w:pPr>
    </w:p>
    <w:p w14:paraId="261181CE" w14:textId="77777777" w:rsidR="00200F58" w:rsidRPr="006A488B" w:rsidRDefault="00200F58" w:rsidP="00200F58">
      <w:pPr>
        <w:pStyle w:val="ListParagraph"/>
        <w:numPr>
          <w:ilvl w:val="0"/>
          <w:numId w:val="1"/>
        </w:numPr>
        <w:ind w:left="567" w:hanging="567"/>
        <w:rPr>
          <w:rFonts w:ascii="Arial" w:hAnsi="Arial" w:cs="Arial"/>
          <w:bCs/>
          <w:szCs w:val="24"/>
        </w:rPr>
      </w:pPr>
      <w:r w:rsidRPr="006A488B">
        <w:rPr>
          <w:rFonts w:ascii="Arial" w:hAnsi="Arial" w:cs="Arial"/>
          <w:b/>
          <w:szCs w:val="24"/>
          <w:u w:val="single"/>
        </w:rPr>
        <w:t>REASONS FOR COMPLAINTS</w:t>
      </w:r>
    </w:p>
    <w:p w14:paraId="08AD8E09" w14:textId="77777777" w:rsidR="00200F58" w:rsidRPr="006A488B" w:rsidRDefault="00200F58" w:rsidP="00200F58">
      <w:pPr>
        <w:ind w:left="567"/>
        <w:rPr>
          <w:rFonts w:ascii="Arial" w:hAnsi="Arial" w:cs="Arial"/>
          <w:szCs w:val="24"/>
        </w:rPr>
      </w:pPr>
    </w:p>
    <w:p w14:paraId="052EACB7" w14:textId="77457E67" w:rsidR="00200F58" w:rsidRPr="006A488B" w:rsidRDefault="00200F58" w:rsidP="00200F58">
      <w:pPr>
        <w:ind w:left="567"/>
        <w:rPr>
          <w:rFonts w:ascii="Arial" w:hAnsi="Arial" w:cs="Arial"/>
          <w:szCs w:val="24"/>
        </w:rPr>
      </w:pPr>
      <w:r w:rsidRPr="006A488B">
        <w:rPr>
          <w:rFonts w:ascii="Arial" w:hAnsi="Arial" w:cs="Arial"/>
          <w:szCs w:val="24"/>
        </w:rPr>
        <w:t xml:space="preserve">The table below details the </w:t>
      </w:r>
      <w:r w:rsidR="000D111B">
        <w:rPr>
          <w:rFonts w:ascii="Arial" w:hAnsi="Arial" w:cs="Arial"/>
          <w:szCs w:val="24"/>
        </w:rPr>
        <w:t xml:space="preserve">complaint </w:t>
      </w:r>
      <w:r w:rsidRPr="006A488B">
        <w:rPr>
          <w:rFonts w:ascii="Arial" w:hAnsi="Arial" w:cs="Arial"/>
          <w:szCs w:val="24"/>
        </w:rPr>
        <w:t xml:space="preserve">reasons for Housing Services only.  </w:t>
      </w:r>
    </w:p>
    <w:p w14:paraId="6AA499DB" w14:textId="77777777" w:rsidR="00200F58" w:rsidRPr="006A488B" w:rsidRDefault="00200F58" w:rsidP="00200F58">
      <w:pPr>
        <w:ind w:left="567"/>
        <w:rPr>
          <w:rFonts w:ascii="Arial" w:hAnsi="Arial" w:cs="Arial"/>
          <w:szCs w:val="24"/>
        </w:rPr>
      </w:pPr>
    </w:p>
    <w:p w14:paraId="449EF171" w14:textId="2C33D5FF" w:rsidR="00200F58" w:rsidRPr="007C0429" w:rsidRDefault="00ED54DD" w:rsidP="00200F58">
      <w:pPr>
        <w:ind w:left="567"/>
        <w:rPr>
          <w:rFonts w:ascii="Arial" w:hAnsi="Arial" w:cs="Arial"/>
          <w:szCs w:val="24"/>
          <w:highlight w:val="yellow"/>
        </w:rPr>
      </w:pPr>
      <w:r>
        <w:rPr>
          <w:noProof/>
        </w:rPr>
        <w:drawing>
          <wp:inline distT="0" distB="0" distL="0" distR="0" wp14:anchorId="5BA5529B" wp14:editId="1C27F2AA">
            <wp:extent cx="5730240" cy="3772535"/>
            <wp:effectExtent l="0" t="0" r="3810" b="18415"/>
            <wp:docPr id="1237998772" name="Chart 1">
              <a:extLst xmlns:a="http://schemas.openxmlformats.org/drawingml/2006/main">
                <a:ext uri="{FF2B5EF4-FFF2-40B4-BE49-F238E27FC236}">
                  <a16:creationId xmlns:a16="http://schemas.microsoft.com/office/drawing/2014/main" id="{A77327DF-568D-47B7-B6BE-A0B6939697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A14ED9" w14:textId="77777777" w:rsidR="00200F58" w:rsidRPr="006A488B" w:rsidRDefault="00200F58" w:rsidP="00200F58">
      <w:pPr>
        <w:ind w:left="567"/>
        <w:rPr>
          <w:rFonts w:ascii="Arial" w:hAnsi="Arial" w:cs="Arial"/>
          <w:szCs w:val="24"/>
        </w:rPr>
      </w:pPr>
    </w:p>
    <w:p w14:paraId="33194256" w14:textId="09FBA57F" w:rsidR="00FE000F" w:rsidRPr="00213AA4" w:rsidRDefault="007F543C" w:rsidP="00200F58">
      <w:pPr>
        <w:ind w:left="567"/>
        <w:rPr>
          <w:rFonts w:ascii="Arial" w:hAnsi="Arial" w:cs="Arial"/>
          <w:szCs w:val="24"/>
        </w:rPr>
      </w:pPr>
      <w:r w:rsidRPr="00213AA4">
        <w:rPr>
          <w:rFonts w:ascii="Arial" w:hAnsi="Arial" w:cs="Arial"/>
          <w:szCs w:val="24"/>
        </w:rPr>
        <w:t xml:space="preserve">During </w:t>
      </w:r>
      <w:r w:rsidR="00393384" w:rsidRPr="00213AA4">
        <w:rPr>
          <w:rFonts w:ascii="Arial" w:hAnsi="Arial" w:cs="Arial"/>
          <w:szCs w:val="24"/>
        </w:rPr>
        <w:t>Q</w:t>
      </w:r>
      <w:r w:rsidR="00213AA4" w:rsidRPr="00213AA4">
        <w:rPr>
          <w:rFonts w:ascii="Arial" w:hAnsi="Arial" w:cs="Arial"/>
          <w:szCs w:val="24"/>
        </w:rPr>
        <w:t>3</w:t>
      </w:r>
      <w:r w:rsidR="00393384" w:rsidRPr="00213AA4">
        <w:rPr>
          <w:rFonts w:ascii="Arial" w:hAnsi="Arial" w:cs="Arial"/>
          <w:szCs w:val="24"/>
        </w:rPr>
        <w:t xml:space="preserve">, we </w:t>
      </w:r>
      <w:r w:rsidR="00350D15" w:rsidRPr="00213AA4">
        <w:rPr>
          <w:rFonts w:ascii="Arial" w:hAnsi="Arial" w:cs="Arial"/>
          <w:szCs w:val="24"/>
        </w:rPr>
        <w:t>received</w:t>
      </w:r>
      <w:r w:rsidR="00213AA4" w:rsidRPr="00213AA4">
        <w:rPr>
          <w:rFonts w:ascii="Arial" w:hAnsi="Arial" w:cs="Arial"/>
          <w:szCs w:val="24"/>
        </w:rPr>
        <w:t xml:space="preserve"> three</w:t>
      </w:r>
      <w:r w:rsidR="00350D15" w:rsidRPr="00213AA4">
        <w:rPr>
          <w:rFonts w:ascii="Arial" w:hAnsi="Arial" w:cs="Arial"/>
          <w:szCs w:val="24"/>
        </w:rPr>
        <w:t xml:space="preserve"> complaints</w:t>
      </w:r>
      <w:r w:rsidR="009E6E48" w:rsidRPr="00213AA4">
        <w:rPr>
          <w:rFonts w:ascii="Arial" w:hAnsi="Arial" w:cs="Arial"/>
          <w:szCs w:val="24"/>
        </w:rPr>
        <w:t xml:space="preserve"> </w:t>
      </w:r>
      <w:r w:rsidR="00393384" w:rsidRPr="00213AA4">
        <w:rPr>
          <w:rFonts w:ascii="Arial" w:hAnsi="Arial" w:cs="Arial"/>
          <w:szCs w:val="24"/>
        </w:rPr>
        <w:t>relating to Housing Services</w:t>
      </w:r>
      <w:r w:rsidR="00D73999" w:rsidRPr="00213AA4">
        <w:rPr>
          <w:rFonts w:ascii="Arial" w:hAnsi="Arial" w:cs="Arial"/>
          <w:szCs w:val="24"/>
        </w:rPr>
        <w:t xml:space="preserve"> relat</w:t>
      </w:r>
      <w:r w:rsidR="00213AA4" w:rsidRPr="00213AA4">
        <w:rPr>
          <w:rFonts w:ascii="Arial" w:hAnsi="Arial" w:cs="Arial"/>
          <w:szCs w:val="24"/>
        </w:rPr>
        <w:t>ing</w:t>
      </w:r>
      <w:r w:rsidR="00350D15" w:rsidRPr="00213AA4">
        <w:rPr>
          <w:rFonts w:ascii="Arial" w:hAnsi="Arial" w:cs="Arial"/>
          <w:szCs w:val="24"/>
        </w:rPr>
        <w:t xml:space="preserve"> to </w:t>
      </w:r>
      <w:r w:rsidRPr="00213AA4">
        <w:rPr>
          <w:rFonts w:ascii="Arial" w:hAnsi="Arial" w:cs="Arial"/>
          <w:szCs w:val="24"/>
        </w:rPr>
        <w:t>allocations</w:t>
      </w:r>
      <w:r w:rsidR="00213AA4" w:rsidRPr="00213AA4">
        <w:rPr>
          <w:rFonts w:ascii="Arial" w:hAnsi="Arial" w:cs="Arial"/>
          <w:szCs w:val="24"/>
        </w:rPr>
        <w:t xml:space="preserve"> and rent</w:t>
      </w:r>
      <w:r w:rsidR="00350D15" w:rsidRPr="00213AA4">
        <w:rPr>
          <w:rFonts w:ascii="Arial" w:hAnsi="Arial" w:cs="Arial"/>
          <w:szCs w:val="24"/>
        </w:rPr>
        <w:t>.</w:t>
      </w:r>
      <w:r w:rsidR="009E6E48" w:rsidRPr="00213AA4">
        <w:rPr>
          <w:rFonts w:ascii="Arial" w:hAnsi="Arial" w:cs="Arial"/>
          <w:szCs w:val="24"/>
        </w:rPr>
        <w:t xml:space="preserve"> </w:t>
      </w:r>
      <w:r w:rsidR="00213AA4" w:rsidRPr="00213AA4">
        <w:rPr>
          <w:rFonts w:ascii="Arial" w:hAnsi="Arial" w:cs="Arial"/>
          <w:szCs w:val="24"/>
        </w:rPr>
        <w:t>Given the consistently low numbers</w:t>
      </w:r>
      <w:r w:rsidR="00244965" w:rsidRPr="00213AA4">
        <w:rPr>
          <w:rFonts w:ascii="Arial" w:hAnsi="Arial" w:cs="Arial"/>
          <w:szCs w:val="24"/>
        </w:rPr>
        <w:t xml:space="preserve">, </w:t>
      </w:r>
      <w:r w:rsidR="009E6E48" w:rsidRPr="00213AA4">
        <w:rPr>
          <w:rFonts w:ascii="Arial" w:hAnsi="Arial" w:cs="Arial"/>
          <w:szCs w:val="24"/>
        </w:rPr>
        <w:t xml:space="preserve">we have </w:t>
      </w:r>
      <w:r w:rsidRPr="00213AA4">
        <w:rPr>
          <w:rFonts w:ascii="Arial" w:hAnsi="Arial" w:cs="Arial"/>
          <w:szCs w:val="24"/>
        </w:rPr>
        <w:t>no</w:t>
      </w:r>
      <w:r w:rsidR="009E6E48" w:rsidRPr="00213AA4">
        <w:rPr>
          <w:rFonts w:ascii="Arial" w:hAnsi="Arial" w:cs="Arial"/>
          <w:szCs w:val="24"/>
        </w:rPr>
        <w:t xml:space="preserve"> concerns with this area</w:t>
      </w:r>
      <w:r w:rsidR="00497AD5" w:rsidRPr="00213AA4">
        <w:rPr>
          <w:rFonts w:ascii="Arial" w:hAnsi="Arial" w:cs="Arial"/>
          <w:szCs w:val="24"/>
        </w:rPr>
        <w:t>.</w:t>
      </w:r>
    </w:p>
    <w:p w14:paraId="20E12696" w14:textId="77777777" w:rsidR="00393384" w:rsidRPr="00213AA4" w:rsidRDefault="00393384" w:rsidP="00200F58">
      <w:pPr>
        <w:ind w:left="567"/>
        <w:rPr>
          <w:rFonts w:ascii="Arial" w:hAnsi="Arial" w:cs="Arial"/>
          <w:szCs w:val="24"/>
        </w:rPr>
      </w:pPr>
    </w:p>
    <w:p w14:paraId="1C2B6F2B" w14:textId="1B814579" w:rsidR="00200F58" w:rsidRPr="00213AA4" w:rsidRDefault="00200F58" w:rsidP="00200F58">
      <w:pPr>
        <w:ind w:left="567"/>
        <w:rPr>
          <w:rFonts w:ascii="Arial" w:hAnsi="Arial" w:cs="Arial"/>
          <w:szCs w:val="24"/>
        </w:rPr>
      </w:pPr>
      <w:r w:rsidRPr="00213AA4">
        <w:rPr>
          <w:rFonts w:ascii="Arial" w:hAnsi="Arial" w:cs="Arial"/>
          <w:szCs w:val="24"/>
        </w:rPr>
        <w:t xml:space="preserve">The table overleaf details the </w:t>
      </w:r>
      <w:r w:rsidR="000D111B" w:rsidRPr="00213AA4">
        <w:rPr>
          <w:rFonts w:ascii="Arial" w:hAnsi="Arial" w:cs="Arial"/>
          <w:szCs w:val="24"/>
        </w:rPr>
        <w:t xml:space="preserve">complaint </w:t>
      </w:r>
      <w:r w:rsidRPr="00213AA4">
        <w:rPr>
          <w:rFonts w:ascii="Arial" w:hAnsi="Arial" w:cs="Arial"/>
          <w:szCs w:val="24"/>
        </w:rPr>
        <w:t xml:space="preserve">reasons for Property Services only.  </w:t>
      </w:r>
    </w:p>
    <w:p w14:paraId="495495FE" w14:textId="77777777" w:rsidR="00200F58" w:rsidRPr="00213AA4" w:rsidRDefault="00200F58" w:rsidP="00200F58">
      <w:pPr>
        <w:ind w:left="567"/>
        <w:rPr>
          <w:rFonts w:ascii="Arial" w:hAnsi="Arial" w:cs="Arial"/>
          <w:szCs w:val="24"/>
        </w:rPr>
      </w:pPr>
    </w:p>
    <w:p w14:paraId="399D7D52" w14:textId="7146A0E1" w:rsidR="00435E6E" w:rsidRDefault="0071304C" w:rsidP="002468A0">
      <w:pPr>
        <w:ind w:left="567"/>
        <w:rPr>
          <w:rFonts w:ascii="Arial" w:hAnsi="Arial" w:cs="Arial"/>
          <w:szCs w:val="24"/>
        </w:rPr>
      </w:pPr>
      <w:r w:rsidRPr="00213AA4">
        <w:rPr>
          <w:rFonts w:ascii="Arial" w:hAnsi="Arial" w:cs="Arial"/>
          <w:szCs w:val="24"/>
        </w:rPr>
        <w:t>In Q</w:t>
      </w:r>
      <w:r w:rsidR="00213AA4" w:rsidRPr="00213AA4">
        <w:rPr>
          <w:rFonts w:ascii="Arial" w:hAnsi="Arial" w:cs="Arial"/>
          <w:szCs w:val="24"/>
        </w:rPr>
        <w:t>3</w:t>
      </w:r>
      <w:r w:rsidR="00393384" w:rsidRPr="00213AA4">
        <w:rPr>
          <w:rFonts w:ascii="Arial" w:hAnsi="Arial" w:cs="Arial"/>
          <w:szCs w:val="24"/>
        </w:rPr>
        <w:t>, there was</w:t>
      </w:r>
      <w:r w:rsidR="001C3518" w:rsidRPr="00213AA4">
        <w:rPr>
          <w:rFonts w:ascii="Arial" w:hAnsi="Arial" w:cs="Arial"/>
          <w:szCs w:val="24"/>
        </w:rPr>
        <w:t xml:space="preserve"> </w:t>
      </w:r>
      <w:r w:rsidR="00435E6E" w:rsidRPr="00213AA4">
        <w:rPr>
          <w:rFonts w:ascii="Arial" w:hAnsi="Arial" w:cs="Arial"/>
          <w:szCs w:val="24"/>
        </w:rPr>
        <w:t>a</w:t>
      </w:r>
      <w:r w:rsidR="00244965" w:rsidRPr="00213AA4">
        <w:rPr>
          <w:rFonts w:ascii="Arial" w:hAnsi="Arial" w:cs="Arial"/>
          <w:szCs w:val="24"/>
        </w:rPr>
        <w:t xml:space="preserve">n increase </w:t>
      </w:r>
      <w:r w:rsidR="0003744A" w:rsidRPr="00213AA4">
        <w:rPr>
          <w:rFonts w:ascii="Arial" w:hAnsi="Arial" w:cs="Arial"/>
          <w:szCs w:val="24"/>
        </w:rPr>
        <w:t xml:space="preserve">of </w:t>
      </w:r>
      <w:r w:rsidR="00213AA4" w:rsidRPr="00213AA4">
        <w:rPr>
          <w:rFonts w:ascii="Arial" w:hAnsi="Arial" w:cs="Arial"/>
          <w:szCs w:val="24"/>
        </w:rPr>
        <w:t>3</w:t>
      </w:r>
      <w:r w:rsidR="0003744A" w:rsidRPr="00213AA4">
        <w:rPr>
          <w:rFonts w:ascii="Arial" w:hAnsi="Arial" w:cs="Arial"/>
          <w:szCs w:val="24"/>
        </w:rPr>
        <w:t xml:space="preserve">% </w:t>
      </w:r>
      <w:r w:rsidR="00435E6E" w:rsidRPr="00213AA4">
        <w:rPr>
          <w:rFonts w:ascii="Arial" w:hAnsi="Arial" w:cs="Arial"/>
          <w:szCs w:val="24"/>
        </w:rPr>
        <w:t>in complaints relating to Property Services</w:t>
      </w:r>
      <w:r w:rsidR="00213AA4" w:rsidRPr="00213AA4">
        <w:rPr>
          <w:rFonts w:ascii="Arial" w:hAnsi="Arial" w:cs="Arial"/>
          <w:szCs w:val="24"/>
        </w:rPr>
        <w:t xml:space="preserve"> (e.g. 1 complaint)</w:t>
      </w:r>
      <w:r w:rsidR="00FE000F" w:rsidRPr="00213AA4">
        <w:rPr>
          <w:rFonts w:ascii="Arial" w:hAnsi="Arial" w:cs="Arial"/>
          <w:szCs w:val="24"/>
        </w:rPr>
        <w:t xml:space="preserve">. </w:t>
      </w:r>
      <w:r w:rsidR="00213AA4" w:rsidRPr="00213AA4">
        <w:rPr>
          <w:rFonts w:ascii="Arial" w:hAnsi="Arial" w:cs="Arial"/>
          <w:szCs w:val="24"/>
        </w:rPr>
        <w:t>We saw decreases across reactive repairs and services however both recharges and factoring complaints increased and we see this as being directly linked to recharges issued and factoring debt being pursued during the period</w:t>
      </w:r>
      <w:r w:rsidR="00244965" w:rsidRPr="00213AA4">
        <w:rPr>
          <w:rFonts w:ascii="Arial" w:hAnsi="Arial" w:cs="Arial"/>
          <w:szCs w:val="24"/>
        </w:rPr>
        <w:t>.</w:t>
      </w:r>
    </w:p>
    <w:p w14:paraId="1CFB9051" w14:textId="4AF86EBC" w:rsidR="00200F58" w:rsidRDefault="00200F58" w:rsidP="00244965">
      <w:pPr>
        <w:rPr>
          <w:noProof/>
        </w:rPr>
      </w:pPr>
    </w:p>
    <w:p w14:paraId="34360BE1" w14:textId="2CE5FD51" w:rsidR="00494731" w:rsidRDefault="00ED54DD" w:rsidP="00200F58">
      <w:pPr>
        <w:ind w:left="567"/>
        <w:rPr>
          <w:rFonts w:ascii="Arial" w:hAnsi="Arial" w:cs="Arial"/>
          <w:szCs w:val="24"/>
        </w:rPr>
      </w:pPr>
      <w:r>
        <w:rPr>
          <w:noProof/>
        </w:rPr>
        <w:lastRenderedPageBreak/>
        <w:drawing>
          <wp:inline distT="0" distB="0" distL="0" distR="0" wp14:anchorId="0E33DD34" wp14:editId="73AE9F9F">
            <wp:extent cx="5699760" cy="3803015"/>
            <wp:effectExtent l="0" t="0" r="15240" b="6985"/>
            <wp:docPr id="399366699" name="Chart 1">
              <a:extLst xmlns:a="http://schemas.openxmlformats.org/drawingml/2006/main">
                <a:ext uri="{FF2B5EF4-FFF2-40B4-BE49-F238E27FC236}">
                  <a16:creationId xmlns:a16="http://schemas.microsoft.com/office/drawing/2014/main" id="{40C5B490-22CA-46CB-A932-9A3D9DDE71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A7BB23" w14:textId="77777777" w:rsidR="008E3610" w:rsidRPr="00623F8B" w:rsidRDefault="008E3610" w:rsidP="00200F58">
      <w:pPr>
        <w:ind w:left="567"/>
        <w:rPr>
          <w:rFonts w:ascii="Arial" w:hAnsi="Arial" w:cs="Arial"/>
          <w:szCs w:val="24"/>
        </w:rPr>
      </w:pPr>
    </w:p>
    <w:p w14:paraId="79DC42C6" w14:textId="77777777" w:rsidR="00200F58" w:rsidRPr="001002B7" w:rsidRDefault="00200F58" w:rsidP="00200F58">
      <w:pPr>
        <w:pStyle w:val="ListParagraph"/>
        <w:numPr>
          <w:ilvl w:val="0"/>
          <w:numId w:val="1"/>
        </w:numPr>
        <w:ind w:left="567" w:hanging="567"/>
        <w:rPr>
          <w:rFonts w:ascii="Arial" w:hAnsi="Arial" w:cs="Arial"/>
          <w:b/>
          <w:szCs w:val="24"/>
          <w:u w:val="single"/>
        </w:rPr>
      </w:pPr>
      <w:r w:rsidRPr="001002B7">
        <w:rPr>
          <w:rFonts w:ascii="Arial" w:hAnsi="Arial" w:cs="Arial"/>
          <w:b/>
          <w:szCs w:val="24"/>
          <w:u w:val="single"/>
        </w:rPr>
        <w:t>COMPLAINT OUTCOMES</w:t>
      </w:r>
    </w:p>
    <w:p w14:paraId="11FA8D7C" w14:textId="77777777" w:rsidR="00200F58" w:rsidRPr="001002B7" w:rsidRDefault="00200F58" w:rsidP="00200F58">
      <w:pPr>
        <w:pStyle w:val="ListParagraph"/>
        <w:ind w:left="567"/>
        <w:rPr>
          <w:rFonts w:ascii="Arial" w:hAnsi="Arial" w:cs="Arial"/>
          <w:bCs/>
          <w:szCs w:val="24"/>
        </w:rPr>
      </w:pPr>
    </w:p>
    <w:p w14:paraId="541282B8" w14:textId="6BA06380" w:rsidR="00200F58" w:rsidRPr="001002B7" w:rsidRDefault="00200F58" w:rsidP="00200F58">
      <w:pPr>
        <w:pStyle w:val="ListParagraph"/>
        <w:ind w:left="567"/>
        <w:rPr>
          <w:rFonts w:ascii="Arial" w:hAnsi="Arial" w:cs="Arial"/>
          <w:bCs/>
          <w:szCs w:val="24"/>
        </w:rPr>
      </w:pPr>
      <w:r w:rsidRPr="001002B7">
        <w:rPr>
          <w:rFonts w:ascii="Arial" w:hAnsi="Arial" w:cs="Arial"/>
          <w:bCs/>
          <w:szCs w:val="24"/>
        </w:rPr>
        <w:t xml:space="preserve">The Association sets a target of </w:t>
      </w:r>
      <w:r w:rsidR="002F50DD" w:rsidRPr="001002B7">
        <w:rPr>
          <w:rFonts w:ascii="Arial" w:hAnsi="Arial" w:cs="Arial"/>
          <w:bCs/>
          <w:szCs w:val="24"/>
        </w:rPr>
        <w:t>4</w:t>
      </w:r>
      <w:r w:rsidRPr="001002B7">
        <w:rPr>
          <w:rFonts w:ascii="Arial" w:hAnsi="Arial" w:cs="Arial"/>
          <w:bCs/>
          <w:szCs w:val="24"/>
        </w:rPr>
        <w:t xml:space="preserve"> working days to resolve Stage 1 Complaints and 20 working days to resolve Stage 2 Complaints. The table below highlights the % of complaints resolved within timescale over the past 3 years.</w:t>
      </w:r>
    </w:p>
    <w:p w14:paraId="652DC148" w14:textId="77777777" w:rsidR="00200F58" w:rsidRPr="001002B7" w:rsidRDefault="00200F58" w:rsidP="00200F58">
      <w:pPr>
        <w:pStyle w:val="ListParagraph"/>
        <w:ind w:left="567"/>
        <w:rPr>
          <w:rFonts w:ascii="Arial" w:hAnsi="Arial" w:cs="Arial"/>
          <w:bCs/>
          <w:szCs w:val="24"/>
          <w:highlight w:val="yellow"/>
        </w:rPr>
      </w:pPr>
    </w:p>
    <w:tbl>
      <w:tblPr>
        <w:tblStyle w:val="TableGrid"/>
        <w:tblW w:w="0" w:type="auto"/>
        <w:jc w:val="center"/>
        <w:tblLook w:val="04A0" w:firstRow="1" w:lastRow="0" w:firstColumn="1" w:lastColumn="0" w:noHBand="0" w:noVBand="1"/>
      </w:tblPr>
      <w:tblGrid>
        <w:gridCol w:w="2216"/>
        <w:gridCol w:w="1564"/>
        <w:gridCol w:w="2992"/>
      </w:tblGrid>
      <w:tr w:rsidR="00200F58" w:rsidRPr="001002B7" w14:paraId="5F147490" w14:textId="77777777" w:rsidTr="002468A0">
        <w:trPr>
          <w:jc w:val="center"/>
        </w:trPr>
        <w:tc>
          <w:tcPr>
            <w:tcW w:w="2216" w:type="dxa"/>
            <w:vMerge w:val="restart"/>
            <w:shd w:val="clear" w:color="auto" w:fill="BFBFBF" w:themeFill="background1" w:themeFillShade="BF"/>
            <w:vAlign w:val="center"/>
          </w:tcPr>
          <w:p w14:paraId="275CCB56" w14:textId="77777777" w:rsidR="00200F58" w:rsidRPr="001002B7" w:rsidRDefault="00200F58" w:rsidP="00ED4FE4">
            <w:pPr>
              <w:pStyle w:val="ListParagraph"/>
              <w:ind w:left="0"/>
              <w:jc w:val="center"/>
              <w:rPr>
                <w:rFonts w:ascii="Arial" w:hAnsi="Arial" w:cs="Arial"/>
                <w:bCs/>
                <w:sz w:val="24"/>
                <w:szCs w:val="24"/>
              </w:rPr>
            </w:pPr>
          </w:p>
        </w:tc>
        <w:tc>
          <w:tcPr>
            <w:tcW w:w="0" w:type="auto"/>
            <w:shd w:val="clear" w:color="auto" w:fill="BFBFBF" w:themeFill="background1" w:themeFillShade="BF"/>
            <w:vAlign w:val="center"/>
          </w:tcPr>
          <w:p w14:paraId="2DF17677" w14:textId="77777777" w:rsidR="00200F58" w:rsidRPr="001002B7" w:rsidRDefault="00200F58" w:rsidP="00ED4FE4">
            <w:pPr>
              <w:pStyle w:val="ListParagraph"/>
              <w:ind w:left="0"/>
              <w:jc w:val="center"/>
              <w:rPr>
                <w:rFonts w:ascii="Arial" w:hAnsi="Arial" w:cs="Arial"/>
                <w:b/>
                <w:sz w:val="24"/>
                <w:szCs w:val="24"/>
              </w:rPr>
            </w:pPr>
            <w:r w:rsidRPr="001002B7">
              <w:rPr>
                <w:rFonts w:ascii="Arial" w:hAnsi="Arial" w:cs="Arial"/>
                <w:b/>
                <w:sz w:val="24"/>
                <w:szCs w:val="24"/>
              </w:rPr>
              <w:t>Stage 1</w:t>
            </w:r>
          </w:p>
        </w:tc>
        <w:tc>
          <w:tcPr>
            <w:tcW w:w="2992" w:type="dxa"/>
            <w:shd w:val="clear" w:color="auto" w:fill="BFBFBF" w:themeFill="background1" w:themeFillShade="BF"/>
            <w:vAlign w:val="center"/>
          </w:tcPr>
          <w:p w14:paraId="235A6D01" w14:textId="77777777" w:rsidR="00200F58" w:rsidRPr="001002B7" w:rsidRDefault="00200F58" w:rsidP="00ED4FE4">
            <w:pPr>
              <w:pStyle w:val="ListParagraph"/>
              <w:ind w:left="0"/>
              <w:jc w:val="center"/>
              <w:rPr>
                <w:rFonts w:ascii="Arial" w:hAnsi="Arial" w:cs="Arial"/>
                <w:b/>
                <w:sz w:val="24"/>
                <w:szCs w:val="24"/>
              </w:rPr>
            </w:pPr>
            <w:r w:rsidRPr="001002B7">
              <w:rPr>
                <w:rFonts w:ascii="Arial" w:hAnsi="Arial" w:cs="Arial"/>
                <w:b/>
                <w:sz w:val="24"/>
                <w:szCs w:val="24"/>
              </w:rPr>
              <w:t>Stage 2</w:t>
            </w:r>
          </w:p>
        </w:tc>
      </w:tr>
      <w:tr w:rsidR="00200F58" w:rsidRPr="001002B7" w14:paraId="010DEAB7" w14:textId="77777777" w:rsidTr="002468A0">
        <w:trPr>
          <w:jc w:val="center"/>
        </w:trPr>
        <w:tc>
          <w:tcPr>
            <w:tcW w:w="2216" w:type="dxa"/>
            <w:vMerge/>
            <w:shd w:val="clear" w:color="auto" w:fill="D9D9D9" w:themeFill="background1" w:themeFillShade="D9"/>
            <w:vAlign w:val="center"/>
          </w:tcPr>
          <w:p w14:paraId="2EC890CE" w14:textId="77777777" w:rsidR="00200F58" w:rsidRPr="001002B7" w:rsidRDefault="00200F58" w:rsidP="00ED4FE4">
            <w:pPr>
              <w:pStyle w:val="ListParagraph"/>
              <w:ind w:left="0"/>
              <w:jc w:val="center"/>
              <w:rPr>
                <w:rFonts w:ascii="Arial" w:hAnsi="Arial" w:cs="Arial"/>
                <w:bCs/>
                <w:sz w:val="24"/>
                <w:szCs w:val="24"/>
              </w:rPr>
            </w:pPr>
          </w:p>
        </w:tc>
        <w:tc>
          <w:tcPr>
            <w:tcW w:w="0" w:type="auto"/>
            <w:shd w:val="clear" w:color="auto" w:fill="BFBFBF" w:themeFill="background1" w:themeFillShade="BF"/>
            <w:vAlign w:val="center"/>
          </w:tcPr>
          <w:p w14:paraId="5F67F62B" w14:textId="77777777" w:rsidR="00200F58" w:rsidRPr="001002B7" w:rsidRDefault="00200F58" w:rsidP="00ED4FE4">
            <w:pPr>
              <w:pStyle w:val="ListParagraph"/>
              <w:ind w:left="0"/>
              <w:jc w:val="center"/>
              <w:rPr>
                <w:rFonts w:ascii="Arial" w:hAnsi="Arial" w:cs="Arial"/>
                <w:b/>
                <w:sz w:val="24"/>
                <w:szCs w:val="24"/>
              </w:rPr>
            </w:pPr>
            <w:r w:rsidRPr="001002B7">
              <w:rPr>
                <w:rFonts w:ascii="Arial" w:hAnsi="Arial" w:cs="Arial"/>
                <w:b/>
                <w:sz w:val="24"/>
                <w:szCs w:val="24"/>
              </w:rPr>
              <w:t>% Resolved</w:t>
            </w:r>
          </w:p>
        </w:tc>
        <w:tc>
          <w:tcPr>
            <w:tcW w:w="2992" w:type="dxa"/>
            <w:shd w:val="clear" w:color="auto" w:fill="BFBFBF" w:themeFill="background1" w:themeFillShade="BF"/>
            <w:vAlign w:val="center"/>
          </w:tcPr>
          <w:p w14:paraId="325BA677" w14:textId="77777777" w:rsidR="00200F58" w:rsidRPr="001002B7" w:rsidRDefault="00200F58" w:rsidP="00ED4FE4">
            <w:pPr>
              <w:pStyle w:val="ListParagraph"/>
              <w:ind w:left="0"/>
              <w:jc w:val="center"/>
              <w:rPr>
                <w:rFonts w:ascii="Arial" w:hAnsi="Arial" w:cs="Arial"/>
                <w:b/>
                <w:sz w:val="24"/>
                <w:szCs w:val="24"/>
              </w:rPr>
            </w:pPr>
            <w:r w:rsidRPr="001002B7">
              <w:rPr>
                <w:rFonts w:ascii="Arial" w:hAnsi="Arial" w:cs="Arial"/>
                <w:b/>
                <w:sz w:val="24"/>
                <w:szCs w:val="24"/>
              </w:rPr>
              <w:t>% Resolved</w:t>
            </w:r>
          </w:p>
        </w:tc>
      </w:tr>
      <w:tr w:rsidR="00F726B0" w:rsidRPr="001002B7" w14:paraId="37A15AD4" w14:textId="77777777" w:rsidTr="002468A0">
        <w:trPr>
          <w:jc w:val="center"/>
        </w:trPr>
        <w:tc>
          <w:tcPr>
            <w:tcW w:w="2216" w:type="dxa"/>
            <w:vAlign w:val="center"/>
          </w:tcPr>
          <w:p w14:paraId="1F8AAE80" w14:textId="1DD0E858" w:rsidR="00F726B0" w:rsidRPr="001002B7" w:rsidRDefault="00F726B0" w:rsidP="00ED4FE4">
            <w:pPr>
              <w:pStyle w:val="ListParagraph"/>
              <w:ind w:left="0"/>
              <w:jc w:val="center"/>
              <w:rPr>
                <w:rFonts w:ascii="Arial" w:hAnsi="Arial" w:cs="Arial"/>
                <w:b/>
                <w:sz w:val="24"/>
                <w:szCs w:val="24"/>
              </w:rPr>
            </w:pPr>
            <w:r w:rsidRPr="001002B7">
              <w:rPr>
                <w:rFonts w:ascii="Arial" w:hAnsi="Arial" w:cs="Arial"/>
                <w:b/>
                <w:sz w:val="24"/>
                <w:szCs w:val="24"/>
              </w:rPr>
              <w:t>2021-22</w:t>
            </w:r>
          </w:p>
        </w:tc>
        <w:tc>
          <w:tcPr>
            <w:tcW w:w="0" w:type="auto"/>
            <w:vAlign w:val="center"/>
          </w:tcPr>
          <w:p w14:paraId="26552AB6" w14:textId="29B1F436" w:rsidR="00F726B0" w:rsidRPr="001002B7" w:rsidRDefault="00F726B0" w:rsidP="00ED4FE4">
            <w:pPr>
              <w:pStyle w:val="ListParagraph"/>
              <w:ind w:left="0"/>
              <w:jc w:val="center"/>
              <w:rPr>
                <w:rFonts w:ascii="Arial" w:hAnsi="Arial" w:cs="Arial"/>
                <w:bCs/>
                <w:sz w:val="24"/>
                <w:szCs w:val="24"/>
              </w:rPr>
            </w:pPr>
            <w:r w:rsidRPr="001002B7">
              <w:rPr>
                <w:rFonts w:ascii="Arial" w:hAnsi="Arial" w:cs="Arial"/>
                <w:bCs/>
                <w:sz w:val="24"/>
                <w:szCs w:val="24"/>
              </w:rPr>
              <w:t>96.62%</w:t>
            </w:r>
          </w:p>
        </w:tc>
        <w:tc>
          <w:tcPr>
            <w:tcW w:w="2992" w:type="dxa"/>
            <w:vAlign w:val="center"/>
          </w:tcPr>
          <w:p w14:paraId="2C54432A" w14:textId="0D1C560B" w:rsidR="00F726B0" w:rsidRPr="001002B7" w:rsidRDefault="00F726B0" w:rsidP="00ED4FE4">
            <w:pPr>
              <w:pStyle w:val="ListParagraph"/>
              <w:ind w:left="0"/>
              <w:jc w:val="center"/>
              <w:rPr>
                <w:rFonts w:ascii="Arial" w:hAnsi="Arial" w:cs="Arial"/>
                <w:bCs/>
                <w:sz w:val="24"/>
                <w:szCs w:val="24"/>
              </w:rPr>
            </w:pPr>
            <w:r w:rsidRPr="001002B7">
              <w:rPr>
                <w:rFonts w:ascii="Arial" w:hAnsi="Arial" w:cs="Arial"/>
                <w:bCs/>
                <w:sz w:val="24"/>
                <w:szCs w:val="24"/>
              </w:rPr>
              <w:t>84.21%</w:t>
            </w:r>
          </w:p>
        </w:tc>
      </w:tr>
      <w:tr w:rsidR="002468A0" w:rsidRPr="001002B7" w14:paraId="6B2084CB" w14:textId="77777777" w:rsidTr="002468A0">
        <w:trPr>
          <w:jc w:val="center"/>
        </w:trPr>
        <w:tc>
          <w:tcPr>
            <w:tcW w:w="2216" w:type="dxa"/>
            <w:vAlign w:val="center"/>
          </w:tcPr>
          <w:p w14:paraId="5B1DD1E8" w14:textId="186A4AA3" w:rsidR="002468A0" w:rsidRPr="001002B7" w:rsidRDefault="002468A0" w:rsidP="00ED4FE4">
            <w:pPr>
              <w:pStyle w:val="ListParagraph"/>
              <w:ind w:left="0"/>
              <w:jc w:val="center"/>
              <w:rPr>
                <w:rFonts w:ascii="Arial" w:hAnsi="Arial" w:cs="Arial"/>
                <w:b/>
                <w:sz w:val="24"/>
                <w:szCs w:val="24"/>
              </w:rPr>
            </w:pPr>
            <w:r w:rsidRPr="001002B7">
              <w:rPr>
                <w:rFonts w:ascii="Arial" w:hAnsi="Arial" w:cs="Arial"/>
                <w:b/>
                <w:sz w:val="24"/>
                <w:szCs w:val="24"/>
              </w:rPr>
              <w:t>2022-23</w:t>
            </w:r>
          </w:p>
        </w:tc>
        <w:tc>
          <w:tcPr>
            <w:tcW w:w="0" w:type="auto"/>
            <w:vAlign w:val="center"/>
          </w:tcPr>
          <w:p w14:paraId="220A90E4" w14:textId="129837F9" w:rsidR="002468A0" w:rsidRPr="001002B7" w:rsidRDefault="002468A0" w:rsidP="00ED4FE4">
            <w:pPr>
              <w:pStyle w:val="ListParagraph"/>
              <w:ind w:left="0"/>
              <w:jc w:val="center"/>
              <w:rPr>
                <w:rFonts w:ascii="Arial" w:hAnsi="Arial" w:cs="Arial"/>
                <w:bCs/>
                <w:sz w:val="24"/>
                <w:szCs w:val="24"/>
              </w:rPr>
            </w:pPr>
            <w:r w:rsidRPr="001002B7">
              <w:rPr>
                <w:rFonts w:ascii="Arial" w:hAnsi="Arial" w:cs="Arial"/>
                <w:bCs/>
                <w:sz w:val="24"/>
                <w:szCs w:val="24"/>
              </w:rPr>
              <w:t>93.42%</w:t>
            </w:r>
          </w:p>
        </w:tc>
        <w:tc>
          <w:tcPr>
            <w:tcW w:w="2992" w:type="dxa"/>
            <w:vAlign w:val="center"/>
          </w:tcPr>
          <w:p w14:paraId="0A654BFB" w14:textId="7BCC3A71" w:rsidR="002468A0" w:rsidRPr="001002B7" w:rsidRDefault="002468A0" w:rsidP="00ED4FE4">
            <w:pPr>
              <w:pStyle w:val="ListParagraph"/>
              <w:ind w:left="0"/>
              <w:jc w:val="center"/>
              <w:rPr>
                <w:rFonts w:ascii="Arial" w:hAnsi="Arial" w:cs="Arial"/>
                <w:bCs/>
                <w:sz w:val="24"/>
                <w:szCs w:val="24"/>
              </w:rPr>
            </w:pPr>
            <w:r w:rsidRPr="001002B7">
              <w:rPr>
                <w:rFonts w:ascii="Arial" w:hAnsi="Arial" w:cs="Arial"/>
                <w:bCs/>
                <w:sz w:val="24"/>
                <w:szCs w:val="24"/>
              </w:rPr>
              <w:t>95.45%</w:t>
            </w:r>
          </w:p>
        </w:tc>
      </w:tr>
      <w:tr w:rsidR="00494731" w:rsidRPr="001002B7" w14:paraId="35E787A9" w14:textId="77777777" w:rsidTr="002468A0">
        <w:trPr>
          <w:jc w:val="center"/>
        </w:trPr>
        <w:tc>
          <w:tcPr>
            <w:tcW w:w="2216" w:type="dxa"/>
            <w:vAlign w:val="center"/>
          </w:tcPr>
          <w:p w14:paraId="68DE9A84" w14:textId="68B04913" w:rsidR="00494731" w:rsidRPr="00494731" w:rsidRDefault="00494731" w:rsidP="00ED4FE4">
            <w:pPr>
              <w:pStyle w:val="ListParagraph"/>
              <w:ind w:left="0"/>
              <w:jc w:val="center"/>
              <w:rPr>
                <w:rFonts w:ascii="Arial" w:hAnsi="Arial" w:cs="Arial"/>
                <w:b/>
                <w:sz w:val="24"/>
                <w:szCs w:val="24"/>
              </w:rPr>
            </w:pPr>
            <w:r w:rsidRPr="00494731">
              <w:rPr>
                <w:rFonts w:ascii="Arial" w:hAnsi="Arial" w:cs="Arial"/>
                <w:b/>
                <w:sz w:val="24"/>
                <w:szCs w:val="24"/>
              </w:rPr>
              <w:t>2023-24</w:t>
            </w:r>
          </w:p>
        </w:tc>
        <w:tc>
          <w:tcPr>
            <w:tcW w:w="0" w:type="auto"/>
            <w:vAlign w:val="center"/>
          </w:tcPr>
          <w:p w14:paraId="3EDAA4A7" w14:textId="7C8AF67B" w:rsidR="00494731" w:rsidRPr="00494731" w:rsidRDefault="00494731" w:rsidP="00ED4FE4">
            <w:pPr>
              <w:pStyle w:val="ListParagraph"/>
              <w:ind w:left="0"/>
              <w:jc w:val="center"/>
              <w:rPr>
                <w:rFonts w:ascii="Arial" w:hAnsi="Arial" w:cs="Arial"/>
                <w:bCs/>
                <w:sz w:val="24"/>
                <w:szCs w:val="24"/>
              </w:rPr>
            </w:pPr>
            <w:r w:rsidRPr="00494731">
              <w:rPr>
                <w:rFonts w:ascii="Arial" w:hAnsi="Arial" w:cs="Arial"/>
                <w:bCs/>
                <w:sz w:val="24"/>
                <w:szCs w:val="24"/>
              </w:rPr>
              <w:t>94.84</w:t>
            </w:r>
            <w:r>
              <w:rPr>
                <w:rFonts w:ascii="Arial" w:hAnsi="Arial" w:cs="Arial"/>
                <w:bCs/>
                <w:sz w:val="24"/>
                <w:szCs w:val="24"/>
              </w:rPr>
              <w:t>%</w:t>
            </w:r>
          </w:p>
        </w:tc>
        <w:tc>
          <w:tcPr>
            <w:tcW w:w="2992" w:type="dxa"/>
            <w:vAlign w:val="center"/>
          </w:tcPr>
          <w:p w14:paraId="64EB6751" w14:textId="7A1EC83D" w:rsidR="00494731" w:rsidRPr="00494731" w:rsidRDefault="00494731" w:rsidP="00ED4FE4">
            <w:pPr>
              <w:pStyle w:val="ListParagraph"/>
              <w:ind w:left="0"/>
              <w:jc w:val="center"/>
              <w:rPr>
                <w:rFonts w:ascii="Arial" w:hAnsi="Arial" w:cs="Arial"/>
                <w:bCs/>
                <w:sz w:val="24"/>
                <w:szCs w:val="24"/>
              </w:rPr>
            </w:pPr>
            <w:r w:rsidRPr="00494731">
              <w:rPr>
                <w:rFonts w:ascii="Arial" w:hAnsi="Arial" w:cs="Arial"/>
                <w:bCs/>
                <w:sz w:val="24"/>
                <w:szCs w:val="24"/>
              </w:rPr>
              <w:t>94.44</w:t>
            </w:r>
            <w:r>
              <w:rPr>
                <w:rFonts w:ascii="Arial" w:hAnsi="Arial" w:cs="Arial"/>
                <w:bCs/>
                <w:sz w:val="24"/>
                <w:szCs w:val="24"/>
              </w:rPr>
              <w:t>%</w:t>
            </w:r>
          </w:p>
        </w:tc>
      </w:tr>
      <w:tr w:rsidR="00200F58" w:rsidRPr="001002B7" w14:paraId="1C9884BC" w14:textId="77777777" w:rsidTr="00494731">
        <w:trPr>
          <w:jc w:val="center"/>
        </w:trPr>
        <w:tc>
          <w:tcPr>
            <w:tcW w:w="2216" w:type="dxa"/>
            <w:shd w:val="clear" w:color="auto" w:fill="BFBFBF" w:themeFill="background1" w:themeFillShade="BF"/>
            <w:vAlign w:val="center"/>
          </w:tcPr>
          <w:p w14:paraId="6F79AE5C" w14:textId="1DF8E1CE" w:rsidR="00200F58" w:rsidRPr="001002B7" w:rsidRDefault="00494731" w:rsidP="00ED4FE4">
            <w:pPr>
              <w:pStyle w:val="ListParagraph"/>
              <w:ind w:left="0"/>
              <w:jc w:val="center"/>
              <w:rPr>
                <w:rFonts w:ascii="Arial" w:hAnsi="Arial" w:cs="Arial"/>
                <w:b/>
                <w:sz w:val="24"/>
                <w:szCs w:val="24"/>
              </w:rPr>
            </w:pPr>
            <w:r>
              <w:rPr>
                <w:rFonts w:ascii="Arial" w:hAnsi="Arial" w:cs="Arial"/>
                <w:b/>
                <w:sz w:val="24"/>
                <w:szCs w:val="24"/>
              </w:rPr>
              <w:t>2024-25</w:t>
            </w:r>
          </w:p>
        </w:tc>
        <w:tc>
          <w:tcPr>
            <w:tcW w:w="4556" w:type="dxa"/>
            <w:gridSpan w:val="2"/>
            <w:shd w:val="clear" w:color="auto" w:fill="BFBFBF" w:themeFill="background1" w:themeFillShade="BF"/>
            <w:vAlign w:val="center"/>
          </w:tcPr>
          <w:p w14:paraId="2A23058C" w14:textId="77777777" w:rsidR="00200F58" w:rsidRPr="001002B7" w:rsidRDefault="00200F58" w:rsidP="00ED4FE4">
            <w:pPr>
              <w:pStyle w:val="ListParagraph"/>
              <w:ind w:left="0"/>
              <w:jc w:val="center"/>
              <w:rPr>
                <w:rFonts w:ascii="Arial" w:hAnsi="Arial" w:cs="Arial"/>
                <w:bCs/>
                <w:sz w:val="24"/>
                <w:szCs w:val="24"/>
              </w:rPr>
            </w:pPr>
          </w:p>
        </w:tc>
      </w:tr>
      <w:tr w:rsidR="00200F58" w:rsidRPr="001002B7" w14:paraId="570C707A" w14:textId="77777777" w:rsidTr="002468A0">
        <w:trPr>
          <w:jc w:val="center"/>
        </w:trPr>
        <w:tc>
          <w:tcPr>
            <w:tcW w:w="2216" w:type="dxa"/>
            <w:vAlign w:val="center"/>
          </w:tcPr>
          <w:p w14:paraId="2228CE9B" w14:textId="77777777" w:rsidR="00200F58" w:rsidRPr="001002B7" w:rsidRDefault="00200F58" w:rsidP="00ED4FE4">
            <w:pPr>
              <w:pStyle w:val="ListParagraph"/>
              <w:ind w:left="0"/>
              <w:jc w:val="center"/>
              <w:rPr>
                <w:rFonts w:ascii="Arial" w:hAnsi="Arial" w:cs="Arial"/>
                <w:b/>
                <w:sz w:val="24"/>
                <w:szCs w:val="24"/>
              </w:rPr>
            </w:pPr>
            <w:r w:rsidRPr="001002B7">
              <w:rPr>
                <w:rFonts w:ascii="Arial" w:hAnsi="Arial" w:cs="Arial"/>
                <w:b/>
                <w:sz w:val="24"/>
                <w:szCs w:val="24"/>
              </w:rPr>
              <w:t>Q1</w:t>
            </w:r>
          </w:p>
        </w:tc>
        <w:tc>
          <w:tcPr>
            <w:tcW w:w="0" w:type="auto"/>
            <w:vAlign w:val="center"/>
          </w:tcPr>
          <w:p w14:paraId="128ACD87" w14:textId="389992F8" w:rsidR="00200F58" w:rsidRPr="001002B7" w:rsidRDefault="00494731" w:rsidP="00ED4FE4">
            <w:pPr>
              <w:pStyle w:val="ListParagraph"/>
              <w:ind w:left="0"/>
              <w:jc w:val="center"/>
              <w:rPr>
                <w:rFonts w:ascii="Arial" w:hAnsi="Arial" w:cs="Arial"/>
                <w:bCs/>
                <w:sz w:val="24"/>
                <w:szCs w:val="24"/>
              </w:rPr>
            </w:pPr>
            <w:r>
              <w:rPr>
                <w:rFonts w:ascii="Arial" w:hAnsi="Arial" w:cs="Arial"/>
                <w:bCs/>
                <w:sz w:val="24"/>
                <w:szCs w:val="24"/>
              </w:rPr>
              <w:t>96.88</w:t>
            </w:r>
            <w:r w:rsidR="00200F58" w:rsidRPr="001002B7">
              <w:rPr>
                <w:rFonts w:ascii="Arial" w:hAnsi="Arial" w:cs="Arial"/>
                <w:bCs/>
                <w:sz w:val="24"/>
                <w:szCs w:val="24"/>
              </w:rPr>
              <w:t>%</w:t>
            </w:r>
          </w:p>
        </w:tc>
        <w:tc>
          <w:tcPr>
            <w:tcW w:w="2992" w:type="dxa"/>
            <w:vAlign w:val="center"/>
          </w:tcPr>
          <w:p w14:paraId="71FB76E0" w14:textId="378DFEEF" w:rsidR="00200F58" w:rsidRPr="001002B7" w:rsidRDefault="00494731" w:rsidP="00ED4FE4">
            <w:pPr>
              <w:pStyle w:val="ListParagraph"/>
              <w:ind w:left="0"/>
              <w:jc w:val="center"/>
              <w:rPr>
                <w:rFonts w:ascii="Arial" w:hAnsi="Arial" w:cs="Arial"/>
                <w:bCs/>
                <w:sz w:val="24"/>
                <w:szCs w:val="24"/>
              </w:rPr>
            </w:pPr>
            <w:r>
              <w:rPr>
                <w:rFonts w:ascii="Arial" w:hAnsi="Arial" w:cs="Arial"/>
                <w:bCs/>
                <w:sz w:val="24"/>
                <w:szCs w:val="24"/>
              </w:rPr>
              <w:t>100</w:t>
            </w:r>
            <w:r w:rsidR="00200F58" w:rsidRPr="001002B7">
              <w:rPr>
                <w:rFonts w:ascii="Arial" w:hAnsi="Arial" w:cs="Arial"/>
                <w:bCs/>
                <w:sz w:val="24"/>
                <w:szCs w:val="24"/>
              </w:rPr>
              <w:t>%</w:t>
            </w:r>
          </w:p>
        </w:tc>
      </w:tr>
      <w:tr w:rsidR="00B60EAE" w:rsidRPr="001002B7" w14:paraId="3461DD26" w14:textId="77777777" w:rsidTr="002468A0">
        <w:trPr>
          <w:jc w:val="center"/>
        </w:trPr>
        <w:tc>
          <w:tcPr>
            <w:tcW w:w="2216" w:type="dxa"/>
            <w:vAlign w:val="center"/>
          </w:tcPr>
          <w:p w14:paraId="71CDEBB5" w14:textId="76A8C26B" w:rsidR="00B60EAE" w:rsidRPr="001002B7" w:rsidRDefault="00B60EAE" w:rsidP="00ED4FE4">
            <w:pPr>
              <w:pStyle w:val="ListParagraph"/>
              <w:ind w:left="0"/>
              <w:jc w:val="center"/>
              <w:rPr>
                <w:rFonts w:ascii="Arial" w:hAnsi="Arial" w:cs="Arial"/>
                <w:b/>
                <w:sz w:val="24"/>
                <w:szCs w:val="24"/>
              </w:rPr>
            </w:pPr>
            <w:r w:rsidRPr="001002B7">
              <w:rPr>
                <w:rFonts w:ascii="Arial" w:hAnsi="Arial" w:cs="Arial"/>
                <w:b/>
                <w:sz w:val="24"/>
                <w:szCs w:val="24"/>
              </w:rPr>
              <w:t>Q2</w:t>
            </w:r>
          </w:p>
        </w:tc>
        <w:tc>
          <w:tcPr>
            <w:tcW w:w="0" w:type="auto"/>
            <w:vAlign w:val="center"/>
          </w:tcPr>
          <w:p w14:paraId="03D87CCA" w14:textId="276FE47D" w:rsidR="00B60EAE" w:rsidRPr="001002B7" w:rsidRDefault="00405497" w:rsidP="00ED4FE4">
            <w:pPr>
              <w:pStyle w:val="ListParagraph"/>
              <w:ind w:left="0"/>
              <w:jc w:val="center"/>
              <w:rPr>
                <w:rFonts w:ascii="Arial" w:hAnsi="Arial" w:cs="Arial"/>
                <w:bCs/>
                <w:sz w:val="24"/>
                <w:szCs w:val="24"/>
              </w:rPr>
            </w:pPr>
            <w:r>
              <w:rPr>
                <w:rFonts w:ascii="Arial" w:hAnsi="Arial" w:cs="Arial"/>
                <w:bCs/>
                <w:sz w:val="24"/>
                <w:szCs w:val="24"/>
              </w:rPr>
              <w:t>97.50%</w:t>
            </w:r>
          </w:p>
        </w:tc>
        <w:tc>
          <w:tcPr>
            <w:tcW w:w="2992" w:type="dxa"/>
            <w:vAlign w:val="center"/>
          </w:tcPr>
          <w:p w14:paraId="2337F294" w14:textId="5F27CC3A" w:rsidR="00B60EAE" w:rsidRPr="001002B7" w:rsidRDefault="00405497" w:rsidP="00ED4FE4">
            <w:pPr>
              <w:pStyle w:val="ListParagraph"/>
              <w:ind w:left="0"/>
              <w:jc w:val="center"/>
              <w:rPr>
                <w:rFonts w:ascii="Arial" w:hAnsi="Arial" w:cs="Arial"/>
                <w:bCs/>
                <w:sz w:val="24"/>
                <w:szCs w:val="24"/>
              </w:rPr>
            </w:pPr>
            <w:r>
              <w:rPr>
                <w:rFonts w:ascii="Arial" w:hAnsi="Arial" w:cs="Arial"/>
                <w:bCs/>
                <w:sz w:val="24"/>
                <w:szCs w:val="24"/>
              </w:rPr>
              <w:t>100%</w:t>
            </w:r>
          </w:p>
        </w:tc>
      </w:tr>
      <w:tr w:rsidR="00B60EAE" w:rsidRPr="001002B7" w14:paraId="0D5EE26E" w14:textId="77777777" w:rsidTr="002468A0">
        <w:trPr>
          <w:jc w:val="center"/>
        </w:trPr>
        <w:tc>
          <w:tcPr>
            <w:tcW w:w="2216" w:type="dxa"/>
            <w:vAlign w:val="center"/>
          </w:tcPr>
          <w:p w14:paraId="13B1F79D" w14:textId="43DA3F94" w:rsidR="00B60EAE" w:rsidRPr="001002B7" w:rsidRDefault="00B60EAE" w:rsidP="00ED4FE4">
            <w:pPr>
              <w:pStyle w:val="ListParagraph"/>
              <w:ind w:left="0"/>
              <w:jc w:val="center"/>
              <w:rPr>
                <w:rFonts w:ascii="Arial" w:hAnsi="Arial" w:cs="Arial"/>
                <w:b/>
                <w:sz w:val="24"/>
                <w:szCs w:val="24"/>
              </w:rPr>
            </w:pPr>
            <w:r w:rsidRPr="001002B7">
              <w:rPr>
                <w:rFonts w:ascii="Arial" w:hAnsi="Arial" w:cs="Arial"/>
                <w:b/>
                <w:sz w:val="24"/>
                <w:szCs w:val="24"/>
              </w:rPr>
              <w:t>Q3</w:t>
            </w:r>
          </w:p>
        </w:tc>
        <w:tc>
          <w:tcPr>
            <w:tcW w:w="0" w:type="auto"/>
            <w:vAlign w:val="center"/>
          </w:tcPr>
          <w:p w14:paraId="2D750998" w14:textId="7D2F182F" w:rsidR="00B60EAE" w:rsidRPr="001002B7" w:rsidRDefault="00567ACB" w:rsidP="00ED4FE4">
            <w:pPr>
              <w:pStyle w:val="ListParagraph"/>
              <w:ind w:left="0"/>
              <w:jc w:val="center"/>
              <w:rPr>
                <w:rFonts w:ascii="Arial" w:hAnsi="Arial" w:cs="Arial"/>
                <w:bCs/>
                <w:sz w:val="24"/>
                <w:szCs w:val="24"/>
              </w:rPr>
            </w:pPr>
            <w:r>
              <w:rPr>
                <w:rFonts w:ascii="Arial" w:hAnsi="Arial" w:cs="Arial"/>
                <w:bCs/>
                <w:sz w:val="24"/>
                <w:szCs w:val="24"/>
              </w:rPr>
              <w:t>100%</w:t>
            </w:r>
          </w:p>
        </w:tc>
        <w:tc>
          <w:tcPr>
            <w:tcW w:w="2992" w:type="dxa"/>
            <w:vAlign w:val="center"/>
          </w:tcPr>
          <w:p w14:paraId="7DFDD199" w14:textId="3242A4FE" w:rsidR="00B60EAE" w:rsidRPr="001002B7" w:rsidRDefault="00567ACB" w:rsidP="00ED4FE4">
            <w:pPr>
              <w:pStyle w:val="ListParagraph"/>
              <w:ind w:left="0"/>
              <w:jc w:val="center"/>
              <w:rPr>
                <w:rFonts w:ascii="Arial" w:hAnsi="Arial" w:cs="Arial"/>
                <w:bCs/>
                <w:sz w:val="24"/>
                <w:szCs w:val="24"/>
              </w:rPr>
            </w:pPr>
            <w:r>
              <w:rPr>
                <w:rFonts w:ascii="Arial" w:hAnsi="Arial" w:cs="Arial"/>
                <w:bCs/>
                <w:sz w:val="24"/>
                <w:szCs w:val="24"/>
              </w:rPr>
              <w:t>100%</w:t>
            </w:r>
          </w:p>
        </w:tc>
      </w:tr>
      <w:tr w:rsidR="00B60EAE" w:rsidRPr="001002B7" w14:paraId="1A7F7CEF" w14:textId="77777777" w:rsidTr="002468A0">
        <w:trPr>
          <w:jc w:val="center"/>
        </w:trPr>
        <w:tc>
          <w:tcPr>
            <w:tcW w:w="2216" w:type="dxa"/>
            <w:vAlign w:val="center"/>
          </w:tcPr>
          <w:p w14:paraId="4E54A6D5" w14:textId="145E101C" w:rsidR="00B60EAE" w:rsidRPr="001002B7" w:rsidRDefault="00B60EAE" w:rsidP="00ED4FE4">
            <w:pPr>
              <w:pStyle w:val="ListParagraph"/>
              <w:ind w:left="0"/>
              <w:jc w:val="center"/>
              <w:rPr>
                <w:rFonts w:ascii="Arial" w:hAnsi="Arial" w:cs="Arial"/>
                <w:b/>
                <w:sz w:val="24"/>
                <w:szCs w:val="24"/>
              </w:rPr>
            </w:pPr>
            <w:r w:rsidRPr="001002B7">
              <w:rPr>
                <w:rFonts w:ascii="Arial" w:hAnsi="Arial" w:cs="Arial"/>
                <w:b/>
                <w:sz w:val="24"/>
                <w:szCs w:val="24"/>
              </w:rPr>
              <w:t>Q4</w:t>
            </w:r>
          </w:p>
        </w:tc>
        <w:tc>
          <w:tcPr>
            <w:tcW w:w="0" w:type="auto"/>
            <w:vAlign w:val="center"/>
          </w:tcPr>
          <w:p w14:paraId="209129C6" w14:textId="2B038208" w:rsidR="00B60EAE" w:rsidRPr="001002B7" w:rsidRDefault="00B60EAE" w:rsidP="00ED4FE4">
            <w:pPr>
              <w:pStyle w:val="ListParagraph"/>
              <w:ind w:left="0"/>
              <w:jc w:val="center"/>
              <w:rPr>
                <w:rFonts w:ascii="Arial" w:hAnsi="Arial" w:cs="Arial"/>
                <w:bCs/>
                <w:sz w:val="24"/>
                <w:szCs w:val="24"/>
              </w:rPr>
            </w:pPr>
          </w:p>
        </w:tc>
        <w:tc>
          <w:tcPr>
            <w:tcW w:w="2992" w:type="dxa"/>
            <w:vAlign w:val="center"/>
          </w:tcPr>
          <w:p w14:paraId="7BFC5616" w14:textId="721BAE88" w:rsidR="00B60EAE" w:rsidRPr="001002B7" w:rsidRDefault="00B60EAE" w:rsidP="00ED4FE4">
            <w:pPr>
              <w:pStyle w:val="ListParagraph"/>
              <w:ind w:left="0"/>
              <w:jc w:val="center"/>
              <w:rPr>
                <w:rFonts w:ascii="Arial" w:hAnsi="Arial" w:cs="Arial"/>
                <w:bCs/>
                <w:sz w:val="24"/>
                <w:szCs w:val="24"/>
              </w:rPr>
            </w:pPr>
          </w:p>
        </w:tc>
      </w:tr>
      <w:tr w:rsidR="00200F58" w:rsidRPr="001002B7" w14:paraId="50E602BD" w14:textId="77777777" w:rsidTr="002468A0">
        <w:trPr>
          <w:jc w:val="center"/>
        </w:trPr>
        <w:tc>
          <w:tcPr>
            <w:tcW w:w="2216" w:type="dxa"/>
            <w:vAlign w:val="center"/>
          </w:tcPr>
          <w:p w14:paraId="6BD3EB44" w14:textId="70C94A9A" w:rsidR="00200F58" w:rsidRPr="001002B7" w:rsidRDefault="00200F58" w:rsidP="00ED4FE4">
            <w:pPr>
              <w:pStyle w:val="ListParagraph"/>
              <w:ind w:left="0"/>
              <w:jc w:val="center"/>
              <w:rPr>
                <w:rFonts w:ascii="Arial" w:hAnsi="Arial" w:cs="Arial"/>
                <w:b/>
                <w:sz w:val="24"/>
                <w:szCs w:val="24"/>
              </w:rPr>
            </w:pPr>
            <w:r w:rsidRPr="001002B7">
              <w:rPr>
                <w:rFonts w:ascii="Arial" w:hAnsi="Arial" w:cs="Arial"/>
                <w:b/>
                <w:sz w:val="24"/>
                <w:szCs w:val="24"/>
              </w:rPr>
              <w:t>202</w:t>
            </w:r>
            <w:r w:rsidR="00494731">
              <w:rPr>
                <w:rFonts w:ascii="Arial" w:hAnsi="Arial" w:cs="Arial"/>
                <w:b/>
                <w:sz w:val="24"/>
                <w:szCs w:val="24"/>
              </w:rPr>
              <w:t>4-25</w:t>
            </w:r>
          </w:p>
        </w:tc>
        <w:tc>
          <w:tcPr>
            <w:tcW w:w="0" w:type="auto"/>
            <w:vAlign w:val="center"/>
          </w:tcPr>
          <w:p w14:paraId="3BF57276" w14:textId="794AAAE1" w:rsidR="00200F58" w:rsidRPr="001002B7" w:rsidRDefault="00494731" w:rsidP="00ED4FE4">
            <w:pPr>
              <w:pStyle w:val="ListParagraph"/>
              <w:ind w:left="0"/>
              <w:jc w:val="center"/>
              <w:rPr>
                <w:rFonts w:ascii="Arial" w:hAnsi="Arial" w:cs="Arial"/>
                <w:b/>
                <w:sz w:val="24"/>
                <w:szCs w:val="24"/>
              </w:rPr>
            </w:pPr>
            <w:r>
              <w:rPr>
                <w:rFonts w:ascii="Arial" w:hAnsi="Arial" w:cs="Arial"/>
                <w:b/>
                <w:sz w:val="24"/>
                <w:szCs w:val="24"/>
              </w:rPr>
              <w:t>9</w:t>
            </w:r>
            <w:r w:rsidR="00567ACB">
              <w:rPr>
                <w:rFonts w:ascii="Arial" w:hAnsi="Arial" w:cs="Arial"/>
                <w:b/>
                <w:sz w:val="24"/>
                <w:szCs w:val="24"/>
              </w:rPr>
              <w:t>8.11</w:t>
            </w:r>
            <w:r w:rsidR="00623F8B" w:rsidRPr="001002B7">
              <w:rPr>
                <w:rFonts w:ascii="Arial" w:hAnsi="Arial" w:cs="Arial"/>
                <w:b/>
                <w:sz w:val="24"/>
                <w:szCs w:val="24"/>
              </w:rPr>
              <w:t>%</w:t>
            </w:r>
          </w:p>
        </w:tc>
        <w:tc>
          <w:tcPr>
            <w:tcW w:w="2992" w:type="dxa"/>
            <w:vAlign w:val="center"/>
          </w:tcPr>
          <w:p w14:paraId="5234DBED" w14:textId="51073862" w:rsidR="00200F58" w:rsidRPr="001002B7" w:rsidRDefault="00494731" w:rsidP="00ED4FE4">
            <w:pPr>
              <w:pStyle w:val="ListParagraph"/>
              <w:ind w:left="0"/>
              <w:jc w:val="center"/>
              <w:rPr>
                <w:rFonts w:ascii="Arial" w:hAnsi="Arial" w:cs="Arial"/>
                <w:b/>
                <w:sz w:val="24"/>
                <w:szCs w:val="24"/>
              </w:rPr>
            </w:pPr>
            <w:r>
              <w:rPr>
                <w:rFonts w:ascii="Arial" w:hAnsi="Arial" w:cs="Arial"/>
                <w:b/>
                <w:sz w:val="24"/>
                <w:szCs w:val="24"/>
              </w:rPr>
              <w:t>100</w:t>
            </w:r>
            <w:r w:rsidR="00C76849">
              <w:rPr>
                <w:rFonts w:ascii="Arial" w:hAnsi="Arial" w:cs="Arial"/>
                <w:b/>
                <w:sz w:val="24"/>
                <w:szCs w:val="24"/>
              </w:rPr>
              <w:t>%</w:t>
            </w:r>
          </w:p>
        </w:tc>
      </w:tr>
    </w:tbl>
    <w:p w14:paraId="2303FF3A" w14:textId="77777777" w:rsidR="00200F58" w:rsidRPr="003B0045" w:rsidRDefault="00200F58" w:rsidP="00200F58">
      <w:pPr>
        <w:pStyle w:val="ListParagraph"/>
        <w:ind w:left="567"/>
        <w:rPr>
          <w:rFonts w:ascii="Arial" w:hAnsi="Arial" w:cs="Arial"/>
          <w:bCs/>
          <w:szCs w:val="24"/>
          <w:highlight w:val="yellow"/>
        </w:rPr>
      </w:pPr>
    </w:p>
    <w:p w14:paraId="153BFE38" w14:textId="61FCACC0" w:rsidR="00D55420" w:rsidRPr="001002B7" w:rsidRDefault="00E17D3A" w:rsidP="00D31EFF">
      <w:pPr>
        <w:pStyle w:val="ListParagraph"/>
        <w:ind w:left="567"/>
        <w:rPr>
          <w:rFonts w:ascii="Arial" w:hAnsi="Arial" w:cs="Arial"/>
          <w:bCs/>
          <w:szCs w:val="24"/>
        </w:rPr>
      </w:pPr>
      <w:r w:rsidRPr="001002B7">
        <w:rPr>
          <w:rFonts w:ascii="Arial" w:hAnsi="Arial" w:cs="Arial"/>
          <w:bCs/>
          <w:szCs w:val="24"/>
        </w:rPr>
        <w:t>During</w:t>
      </w:r>
      <w:r w:rsidR="00200F58" w:rsidRPr="001002B7">
        <w:rPr>
          <w:rFonts w:ascii="Arial" w:hAnsi="Arial" w:cs="Arial"/>
          <w:bCs/>
          <w:szCs w:val="24"/>
        </w:rPr>
        <w:t xml:space="preserve"> Q</w:t>
      </w:r>
      <w:r w:rsidR="00567ACB">
        <w:rPr>
          <w:rFonts w:ascii="Arial" w:hAnsi="Arial" w:cs="Arial"/>
          <w:bCs/>
          <w:szCs w:val="24"/>
        </w:rPr>
        <w:t>3</w:t>
      </w:r>
      <w:r w:rsidR="00405497">
        <w:rPr>
          <w:rFonts w:ascii="Arial" w:hAnsi="Arial" w:cs="Arial"/>
          <w:bCs/>
          <w:szCs w:val="24"/>
        </w:rPr>
        <w:t>,</w:t>
      </w:r>
      <w:r w:rsidR="00200F58" w:rsidRPr="001002B7">
        <w:rPr>
          <w:rFonts w:ascii="Arial" w:hAnsi="Arial" w:cs="Arial"/>
          <w:bCs/>
          <w:szCs w:val="24"/>
        </w:rPr>
        <w:t xml:space="preserve"> </w:t>
      </w:r>
      <w:r w:rsidR="001002B7" w:rsidRPr="001002B7">
        <w:rPr>
          <w:rFonts w:ascii="Arial" w:hAnsi="Arial" w:cs="Arial"/>
          <w:bCs/>
          <w:szCs w:val="24"/>
        </w:rPr>
        <w:t xml:space="preserve">we saw </w:t>
      </w:r>
      <w:r w:rsidR="00567ACB">
        <w:rPr>
          <w:rFonts w:ascii="Arial" w:hAnsi="Arial" w:cs="Arial"/>
          <w:bCs/>
          <w:szCs w:val="24"/>
        </w:rPr>
        <w:t>a further im</w:t>
      </w:r>
      <w:r w:rsidR="00405497">
        <w:rPr>
          <w:rFonts w:ascii="Arial" w:hAnsi="Arial" w:cs="Arial"/>
          <w:bCs/>
          <w:szCs w:val="24"/>
        </w:rPr>
        <w:t xml:space="preserve">provement </w:t>
      </w:r>
      <w:r w:rsidR="00C76849">
        <w:rPr>
          <w:rFonts w:ascii="Arial" w:hAnsi="Arial" w:cs="Arial"/>
          <w:bCs/>
          <w:szCs w:val="24"/>
        </w:rPr>
        <w:t xml:space="preserve">in </w:t>
      </w:r>
      <w:r w:rsidR="001002B7" w:rsidRPr="001002B7">
        <w:rPr>
          <w:rFonts w:ascii="Arial" w:hAnsi="Arial" w:cs="Arial"/>
          <w:bCs/>
          <w:szCs w:val="24"/>
        </w:rPr>
        <w:t xml:space="preserve">performance </w:t>
      </w:r>
      <w:r w:rsidR="00435E6E">
        <w:rPr>
          <w:rFonts w:ascii="Arial" w:hAnsi="Arial" w:cs="Arial"/>
          <w:bCs/>
          <w:szCs w:val="24"/>
        </w:rPr>
        <w:t xml:space="preserve">for Stage 1 </w:t>
      </w:r>
      <w:r w:rsidR="00405497">
        <w:rPr>
          <w:rFonts w:ascii="Arial" w:hAnsi="Arial" w:cs="Arial"/>
          <w:bCs/>
          <w:szCs w:val="24"/>
        </w:rPr>
        <w:t>with</w:t>
      </w:r>
      <w:r w:rsidR="00435E6E">
        <w:rPr>
          <w:rFonts w:ascii="Arial" w:hAnsi="Arial" w:cs="Arial"/>
          <w:bCs/>
          <w:szCs w:val="24"/>
        </w:rPr>
        <w:t xml:space="preserve"> </w:t>
      </w:r>
      <w:r w:rsidR="00200F58" w:rsidRPr="001002B7">
        <w:rPr>
          <w:rFonts w:ascii="Arial" w:hAnsi="Arial" w:cs="Arial"/>
          <w:bCs/>
          <w:szCs w:val="24"/>
        </w:rPr>
        <w:t xml:space="preserve">Stage </w:t>
      </w:r>
      <w:r w:rsidR="001002B7" w:rsidRPr="001002B7">
        <w:rPr>
          <w:rFonts w:ascii="Arial" w:hAnsi="Arial" w:cs="Arial"/>
          <w:bCs/>
          <w:szCs w:val="24"/>
        </w:rPr>
        <w:t>2</w:t>
      </w:r>
      <w:r w:rsidR="00567ACB">
        <w:rPr>
          <w:rFonts w:ascii="Arial" w:hAnsi="Arial" w:cs="Arial"/>
          <w:bCs/>
          <w:szCs w:val="24"/>
        </w:rPr>
        <w:t xml:space="preserve"> with both achieving 100</w:t>
      </w:r>
      <w:r w:rsidR="00405497">
        <w:rPr>
          <w:rFonts w:ascii="Arial" w:hAnsi="Arial" w:cs="Arial"/>
          <w:bCs/>
          <w:szCs w:val="24"/>
        </w:rPr>
        <w:t>%</w:t>
      </w:r>
      <w:r w:rsidR="00C76849">
        <w:rPr>
          <w:rFonts w:ascii="Arial" w:hAnsi="Arial" w:cs="Arial"/>
          <w:bCs/>
          <w:szCs w:val="24"/>
        </w:rPr>
        <w:t>.</w:t>
      </w:r>
    </w:p>
    <w:p w14:paraId="44879676" w14:textId="77777777" w:rsidR="00CD11B9" w:rsidRPr="001002B7" w:rsidRDefault="00CD11B9" w:rsidP="00D31EFF">
      <w:pPr>
        <w:pStyle w:val="ListParagraph"/>
        <w:ind w:left="567"/>
        <w:rPr>
          <w:rFonts w:ascii="Arial" w:hAnsi="Arial" w:cs="Arial"/>
          <w:bCs/>
          <w:szCs w:val="24"/>
        </w:rPr>
      </w:pPr>
    </w:p>
    <w:p w14:paraId="6B63237E" w14:textId="4B837395" w:rsidR="00200F58" w:rsidRPr="001002B7" w:rsidRDefault="000A18A1" w:rsidP="00D31EFF">
      <w:pPr>
        <w:pStyle w:val="ListParagraph"/>
        <w:ind w:left="567"/>
        <w:rPr>
          <w:rFonts w:ascii="Arial" w:hAnsi="Arial" w:cs="Arial"/>
          <w:bCs/>
          <w:szCs w:val="24"/>
        </w:rPr>
      </w:pPr>
      <w:r w:rsidRPr="001002B7">
        <w:rPr>
          <w:rFonts w:ascii="Arial" w:hAnsi="Arial" w:cs="Arial"/>
          <w:bCs/>
          <w:szCs w:val="24"/>
        </w:rPr>
        <w:t xml:space="preserve">We continue to discuss complaints performance </w:t>
      </w:r>
      <w:r w:rsidR="00623F8B" w:rsidRPr="001002B7">
        <w:rPr>
          <w:rFonts w:ascii="Arial" w:hAnsi="Arial" w:cs="Arial"/>
          <w:bCs/>
          <w:szCs w:val="24"/>
        </w:rPr>
        <w:t xml:space="preserve">with staff </w:t>
      </w:r>
      <w:r w:rsidR="00435E6E">
        <w:rPr>
          <w:rFonts w:ascii="Arial" w:hAnsi="Arial" w:cs="Arial"/>
          <w:bCs/>
          <w:szCs w:val="24"/>
        </w:rPr>
        <w:t xml:space="preserve">and contractors </w:t>
      </w:r>
      <w:r w:rsidR="00623F8B" w:rsidRPr="001002B7">
        <w:rPr>
          <w:rFonts w:ascii="Arial" w:hAnsi="Arial" w:cs="Arial"/>
          <w:bCs/>
          <w:szCs w:val="24"/>
        </w:rPr>
        <w:t>including the importance of timescales</w:t>
      </w:r>
      <w:r w:rsidR="00D55420" w:rsidRPr="001002B7">
        <w:rPr>
          <w:rFonts w:ascii="Arial" w:hAnsi="Arial" w:cs="Arial"/>
          <w:bCs/>
          <w:szCs w:val="24"/>
        </w:rPr>
        <w:t xml:space="preserve"> and making every effort to discuss and resolve complaints as quickly as possible.</w:t>
      </w:r>
    </w:p>
    <w:p w14:paraId="56F8F90A" w14:textId="77777777" w:rsidR="00626C4F" w:rsidRPr="0099670A" w:rsidRDefault="00626C4F" w:rsidP="00200F58">
      <w:pPr>
        <w:pStyle w:val="ListParagraph"/>
        <w:ind w:left="567"/>
        <w:rPr>
          <w:rFonts w:ascii="Arial" w:hAnsi="Arial" w:cs="Arial"/>
          <w:bCs/>
          <w:szCs w:val="24"/>
        </w:rPr>
      </w:pPr>
    </w:p>
    <w:p w14:paraId="4D341F16" w14:textId="77777777" w:rsidR="00200F58" w:rsidRPr="0099670A" w:rsidRDefault="00200F58" w:rsidP="00200F58">
      <w:pPr>
        <w:pStyle w:val="ListParagraph"/>
        <w:numPr>
          <w:ilvl w:val="0"/>
          <w:numId w:val="1"/>
        </w:numPr>
        <w:ind w:left="567" w:hanging="567"/>
        <w:rPr>
          <w:rFonts w:ascii="Arial" w:hAnsi="Arial" w:cs="Arial"/>
          <w:b/>
          <w:szCs w:val="24"/>
          <w:u w:val="single"/>
        </w:rPr>
      </w:pPr>
      <w:r w:rsidRPr="0099670A">
        <w:rPr>
          <w:rFonts w:ascii="Arial" w:hAnsi="Arial" w:cs="Arial"/>
          <w:b/>
          <w:szCs w:val="24"/>
          <w:u w:val="single"/>
        </w:rPr>
        <w:t>COMPLAINT TRENDS</w:t>
      </w:r>
    </w:p>
    <w:p w14:paraId="63997CD6" w14:textId="77777777" w:rsidR="00200F58" w:rsidRPr="0099670A" w:rsidRDefault="00200F58" w:rsidP="00200F58">
      <w:pPr>
        <w:pStyle w:val="ListParagraph"/>
        <w:ind w:left="567"/>
        <w:rPr>
          <w:rFonts w:ascii="Arial" w:hAnsi="Arial" w:cs="Arial"/>
          <w:bCs/>
          <w:szCs w:val="24"/>
        </w:rPr>
      </w:pPr>
    </w:p>
    <w:p w14:paraId="12570286" w14:textId="072C91FD" w:rsidR="00200F58" w:rsidRPr="0099670A" w:rsidRDefault="00200F58" w:rsidP="00200F58">
      <w:pPr>
        <w:pStyle w:val="ListParagraph"/>
        <w:ind w:left="567"/>
        <w:rPr>
          <w:rFonts w:ascii="Arial" w:hAnsi="Arial" w:cs="Arial"/>
          <w:bCs/>
          <w:szCs w:val="24"/>
        </w:rPr>
      </w:pPr>
      <w:r w:rsidRPr="0099670A">
        <w:rPr>
          <w:rFonts w:ascii="Arial" w:hAnsi="Arial" w:cs="Arial"/>
          <w:bCs/>
          <w:szCs w:val="24"/>
        </w:rPr>
        <w:t xml:space="preserve">Trends in complaints received have been reviewed and summarised into several areas </w:t>
      </w:r>
      <w:r w:rsidR="00567ACB">
        <w:rPr>
          <w:rFonts w:ascii="Arial" w:hAnsi="Arial" w:cs="Arial"/>
          <w:bCs/>
          <w:szCs w:val="24"/>
        </w:rPr>
        <w:t>overleaf</w:t>
      </w:r>
      <w:r w:rsidRPr="0099670A">
        <w:rPr>
          <w:rFonts w:ascii="Arial" w:hAnsi="Arial" w:cs="Arial"/>
          <w:bCs/>
          <w:szCs w:val="24"/>
        </w:rPr>
        <w:t>.</w:t>
      </w:r>
    </w:p>
    <w:p w14:paraId="2F088DEC" w14:textId="77777777" w:rsidR="00200F58" w:rsidRPr="0099670A" w:rsidRDefault="00200F58" w:rsidP="00200F58">
      <w:pPr>
        <w:pStyle w:val="ListParagraph"/>
        <w:ind w:left="567"/>
        <w:rPr>
          <w:rFonts w:ascii="Arial" w:hAnsi="Arial" w:cs="Arial"/>
          <w:bCs/>
          <w:szCs w:val="24"/>
        </w:rPr>
      </w:pPr>
    </w:p>
    <w:p w14:paraId="763955E5" w14:textId="77777777" w:rsidR="00200F58" w:rsidRPr="0099670A" w:rsidRDefault="00200F58" w:rsidP="00200F58">
      <w:pPr>
        <w:pStyle w:val="ListParagraph"/>
        <w:numPr>
          <w:ilvl w:val="1"/>
          <w:numId w:val="1"/>
        </w:numPr>
        <w:ind w:left="567" w:hanging="567"/>
        <w:rPr>
          <w:rFonts w:ascii="Arial" w:hAnsi="Arial" w:cs="Arial"/>
          <w:bCs/>
          <w:szCs w:val="24"/>
          <w:u w:val="single"/>
        </w:rPr>
      </w:pPr>
      <w:r w:rsidRPr="0099670A">
        <w:rPr>
          <w:rFonts w:ascii="Arial" w:hAnsi="Arial" w:cs="Arial"/>
          <w:bCs/>
          <w:szCs w:val="24"/>
          <w:u w:val="single"/>
        </w:rPr>
        <w:t>Complaints Received</w:t>
      </w:r>
    </w:p>
    <w:p w14:paraId="10A1371E" w14:textId="69B06802" w:rsidR="00200F58" w:rsidRPr="0099670A" w:rsidRDefault="00200F58" w:rsidP="00200F58">
      <w:pPr>
        <w:pStyle w:val="ListParagraph"/>
        <w:ind w:left="567"/>
        <w:rPr>
          <w:rFonts w:ascii="Arial" w:hAnsi="Arial" w:cs="Arial"/>
          <w:bCs/>
          <w:szCs w:val="24"/>
        </w:rPr>
      </w:pPr>
      <w:r w:rsidRPr="0099670A">
        <w:rPr>
          <w:rFonts w:ascii="Arial" w:hAnsi="Arial" w:cs="Arial"/>
          <w:bCs/>
          <w:szCs w:val="24"/>
        </w:rPr>
        <w:t xml:space="preserve">The table below shows the level of complaints received </w:t>
      </w:r>
      <w:r w:rsidR="00623F8B" w:rsidRPr="0099670A">
        <w:rPr>
          <w:rFonts w:ascii="Arial" w:hAnsi="Arial" w:cs="Arial"/>
          <w:bCs/>
          <w:szCs w:val="24"/>
        </w:rPr>
        <w:t xml:space="preserve">per Quarter during </w:t>
      </w:r>
      <w:r w:rsidRPr="0099670A">
        <w:rPr>
          <w:rFonts w:ascii="Arial" w:hAnsi="Arial" w:cs="Arial"/>
          <w:bCs/>
          <w:szCs w:val="24"/>
        </w:rPr>
        <w:t>202</w:t>
      </w:r>
      <w:r w:rsidR="00A31CEB">
        <w:rPr>
          <w:rFonts w:ascii="Arial" w:hAnsi="Arial" w:cs="Arial"/>
          <w:bCs/>
          <w:szCs w:val="24"/>
        </w:rPr>
        <w:t xml:space="preserve">4-25 </w:t>
      </w:r>
      <w:r w:rsidRPr="0099670A">
        <w:rPr>
          <w:rFonts w:ascii="Arial" w:hAnsi="Arial" w:cs="Arial"/>
          <w:bCs/>
          <w:szCs w:val="24"/>
        </w:rPr>
        <w:t>compared to the previous 3 years.</w:t>
      </w:r>
    </w:p>
    <w:p w14:paraId="1C4E7E08" w14:textId="77777777" w:rsidR="00200F58" w:rsidRPr="0099670A" w:rsidRDefault="00200F58" w:rsidP="00200F58">
      <w:pPr>
        <w:pStyle w:val="ListParagraph"/>
        <w:ind w:left="567"/>
        <w:rPr>
          <w:rFonts w:ascii="Arial" w:hAnsi="Arial" w:cs="Arial"/>
          <w:bCs/>
          <w:szCs w:val="24"/>
        </w:rPr>
      </w:pPr>
    </w:p>
    <w:tbl>
      <w:tblPr>
        <w:tblStyle w:val="TableGrid"/>
        <w:tblW w:w="0" w:type="auto"/>
        <w:jc w:val="center"/>
        <w:tblLook w:val="04A0" w:firstRow="1" w:lastRow="0" w:firstColumn="1" w:lastColumn="0" w:noHBand="0" w:noVBand="1"/>
      </w:tblPr>
      <w:tblGrid>
        <w:gridCol w:w="2642"/>
        <w:gridCol w:w="1070"/>
        <w:gridCol w:w="1070"/>
        <w:gridCol w:w="1734"/>
      </w:tblGrid>
      <w:tr w:rsidR="00200F58" w:rsidRPr="00626C4F" w14:paraId="443B8928" w14:textId="77777777" w:rsidTr="00ED4FE4">
        <w:trPr>
          <w:jc w:val="center"/>
        </w:trPr>
        <w:tc>
          <w:tcPr>
            <w:tcW w:w="2642" w:type="dxa"/>
            <w:shd w:val="clear" w:color="auto" w:fill="BFBFBF" w:themeFill="background1" w:themeFillShade="BF"/>
            <w:vAlign w:val="center"/>
          </w:tcPr>
          <w:p w14:paraId="0A45B022" w14:textId="77777777" w:rsidR="00200F58" w:rsidRPr="00626C4F" w:rsidRDefault="00200F58" w:rsidP="00ED4FE4">
            <w:pPr>
              <w:pStyle w:val="ListParagraph"/>
              <w:ind w:left="0"/>
              <w:jc w:val="center"/>
              <w:rPr>
                <w:rFonts w:ascii="Arial" w:hAnsi="Arial" w:cs="Arial"/>
                <w:bCs/>
                <w:sz w:val="24"/>
                <w:szCs w:val="24"/>
              </w:rPr>
            </w:pPr>
          </w:p>
        </w:tc>
        <w:tc>
          <w:tcPr>
            <w:tcW w:w="0" w:type="auto"/>
            <w:shd w:val="clear" w:color="auto" w:fill="BFBFBF" w:themeFill="background1" w:themeFillShade="BF"/>
            <w:vAlign w:val="center"/>
          </w:tcPr>
          <w:p w14:paraId="2E82B6CF" w14:textId="77777777" w:rsidR="00200F58" w:rsidRPr="00626C4F" w:rsidRDefault="00200F58" w:rsidP="00ED4FE4">
            <w:pPr>
              <w:pStyle w:val="ListParagraph"/>
              <w:ind w:left="0"/>
              <w:jc w:val="center"/>
              <w:rPr>
                <w:rFonts w:ascii="Arial" w:hAnsi="Arial" w:cs="Arial"/>
                <w:b/>
                <w:sz w:val="24"/>
                <w:szCs w:val="24"/>
              </w:rPr>
            </w:pPr>
            <w:r w:rsidRPr="00626C4F">
              <w:rPr>
                <w:rFonts w:ascii="Arial" w:hAnsi="Arial" w:cs="Arial"/>
                <w:b/>
                <w:sz w:val="24"/>
                <w:szCs w:val="24"/>
              </w:rPr>
              <w:t>Stage 1</w:t>
            </w:r>
          </w:p>
        </w:tc>
        <w:tc>
          <w:tcPr>
            <w:tcW w:w="0" w:type="auto"/>
            <w:shd w:val="clear" w:color="auto" w:fill="BFBFBF" w:themeFill="background1" w:themeFillShade="BF"/>
            <w:vAlign w:val="center"/>
          </w:tcPr>
          <w:p w14:paraId="67ABEE5A" w14:textId="77777777" w:rsidR="00200F58" w:rsidRPr="00626C4F" w:rsidRDefault="00200F58" w:rsidP="00ED4FE4">
            <w:pPr>
              <w:pStyle w:val="ListParagraph"/>
              <w:ind w:left="0"/>
              <w:jc w:val="center"/>
              <w:rPr>
                <w:rFonts w:ascii="Arial" w:hAnsi="Arial" w:cs="Arial"/>
                <w:b/>
                <w:sz w:val="24"/>
                <w:szCs w:val="24"/>
              </w:rPr>
            </w:pPr>
            <w:r w:rsidRPr="00626C4F">
              <w:rPr>
                <w:rFonts w:ascii="Arial" w:hAnsi="Arial" w:cs="Arial"/>
                <w:b/>
                <w:sz w:val="24"/>
                <w:szCs w:val="24"/>
              </w:rPr>
              <w:t>Stage 2</w:t>
            </w:r>
          </w:p>
        </w:tc>
        <w:tc>
          <w:tcPr>
            <w:tcW w:w="1734" w:type="dxa"/>
            <w:shd w:val="clear" w:color="auto" w:fill="BFBFBF" w:themeFill="background1" w:themeFillShade="BF"/>
          </w:tcPr>
          <w:p w14:paraId="49E3D3A7" w14:textId="77777777" w:rsidR="00200F58" w:rsidRPr="00626C4F" w:rsidRDefault="00200F58" w:rsidP="00ED4FE4">
            <w:pPr>
              <w:pStyle w:val="ListParagraph"/>
              <w:ind w:left="0"/>
              <w:jc w:val="center"/>
              <w:rPr>
                <w:rFonts w:ascii="Arial" w:hAnsi="Arial" w:cs="Arial"/>
                <w:b/>
                <w:sz w:val="24"/>
                <w:szCs w:val="24"/>
              </w:rPr>
            </w:pPr>
            <w:r w:rsidRPr="00626C4F">
              <w:rPr>
                <w:rFonts w:ascii="Arial" w:hAnsi="Arial" w:cs="Arial"/>
                <w:b/>
                <w:sz w:val="24"/>
                <w:szCs w:val="24"/>
              </w:rPr>
              <w:t>Totals</w:t>
            </w:r>
          </w:p>
        </w:tc>
      </w:tr>
      <w:tr w:rsidR="00A0102B" w:rsidRPr="00626C4F" w14:paraId="00FA1FF6" w14:textId="77777777" w:rsidTr="00ED4FE4">
        <w:trPr>
          <w:jc w:val="center"/>
        </w:trPr>
        <w:tc>
          <w:tcPr>
            <w:tcW w:w="2642" w:type="dxa"/>
            <w:vAlign w:val="center"/>
          </w:tcPr>
          <w:p w14:paraId="34192AC3" w14:textId="5CDCD418" w:rsidR="00A0102B" w:rsidRPr="00626C4F" w:rsidRDefault="00A0102B" w:rsidP="00ED4FE4">
            <w:pPr>
              <w:pStyle w:val="ListParagraph"/>
              <w:ind w:left="0"/>
              <w:jc w:val="center"/>
              <w:rPr>
                <w:rFonts w:ascii="Arial" w:hAnsi="Arial" w:cs="Arial"/>
                <w:b/>
                <w:sz w:val="24"/>
                <w:szCs w:val="24"/>
              </w:rPr>
            </w:pPr>
            <w:r w:rsidRPr="00626C4F">
              <w:rPr>
                <w:rFonts w:ascii="Arial" w:hAnsi="Arial" w:cs="Arial"/>
                <w:b/>
                <w:sz w:val="24"/>
                <w:szCs w:val="24"/>
              </w:rPr>
              <w:t>2021-22</w:t>
            </w:r>
          </w:p>
        </w:tc>
        <w:tc>
          <w:tcPr>
            <w:tcW w:w="0" w:type="auto"/>
            <w:vAlign w:val="center"/>
          </w:tcPr>
          <w:p w14:paraId="448A538E" w14:textId="5231FAB6" w:rsidR="00A0102B" w:rsidRPr="00626C4F" w:rsidRDefault="00A0102B" w:rsidP="00ED4FE4">
            <w:pPr>
              <w:pStyle w:val="ListParagraph"/>
              <w:ind w:left="0"/>
              <w:jc w:val="center"/>
              <w:rPr>
                <w:rFonts w:ascii="Arial" w:hAnsi="Arial" w:cs="Arial"/>
                <w:bCs/>
                <w:sz w:val="24"/>
                <w:szCs w:val="24"/>
              </w:rPr>
            </w:pPr>
            <w:r w:rsidRPr="00626C4F">
              <w:rPr>
                <w:rFonts w:ascii="Arial" w:hAnsi="Arial" w:cs="Arial"/>
                <w:bCs/>
                <w:sz w:val="24"/>
                <w:szCs w:val="24"/>
              </w:rPr>
              <w:t>148</w:t>
            </w:r>
          </w:p>
        </w:tc>
        <w:tc>
          <w:tcPr>
            <w:tcW w:w="0" w:type="auto"/>
            <w:vAlign w:val="center"/>
          </w:tcPr>
          <w:p w14:paraId="09B44AD4" w14:textId="6478924B" w:rsidR="00A0102B" w:rsidRPr="00626C4F" w:rsidRDefault="00A0102B" w:rsidP="00ED4FE4">
            <w:pPr>
              <w:pStyle w:val="ListParagraph"/>
              <w:ind w:left="0"/>
              <w:jc w:val="center"/>
              <w:rPr>
                <w:rFonts w:ascii="Arial" w:hAnsi="Arial" w:cs="Arial"/>
                <w:bCs/>
                <w:sz w:val="24"/>
                <w:szCs w:val="24"/>
              </w:rPr>
            </w:pPr>
            <w:r w:rsidRPr="00626C4F">
              <w:rPr>
                <w:rFonts w:ascii="Arial" w:hAnsi="Arial" w:cs="Arial"/>
                <w:bCs/>
                <w:sz w:val="24"/>
                <w:szCs w:val="24"/>
              </w:rPr>
              <w:t>19</w:t>
            </w:r>
          </w:p>
        </w:tc>
        <w:tc>
          <w:tcPr>
            <w:tcW w:w="1734" w:type="dxa"/>
          </w:tcPr>
          <w:p w14:paraId="64A74B21" w14:textId="569E383E" w:rsidR="00A0102B" w:rsidRPr="00626C4F" w:rsidRDefault="00A0102B" w:rsidP="00ED4FE4">
            <w:pPr>
              <w:pStyle w:val="ListParagraph"/>
              <w:ind w:left="0"/>
              <w:jc w:val="center"/>
              <w:rPr>
                <w:rFonts w:ascii="Arial" w:hAnsi="Arial" w:cs="Arial"/>
                <w:bCs/>
                <w:sz w:val="24"/>
                <w:szCs w:val="24"/>
              </w:rPr>
            </w:pPr>
            <w:r w:rsidRPr="00626C4F">
              <w:rPr>
                <w:rFonts w:ascii="Arial" w:hAnsi="Arial" w:cs="Arial"/>
                <w:bCs/>
                <w:sz w:val="24"/>
                <w:szCs w:val="24"/>
              </w:rPr>
              <w:t>167</w:t>
            </w:r>
          </w:p>
        </w:tc>
      </w:tr>
      <w:tr w:rsidR="002468A0" w:rsidRPr="00626C4F" w14:paraId="5AB55966" w14:textId="77777777" w:rsidTr="00ED4FE4">
        <w:trPr>
          <w:jc w:val="center"/>
        </w:trPr>
        <w:tc>
          <w:tcPr>
            <w:tcW w:w="2642" w:type="dxa"/>
            <w:vAlign w:val="center"/>
          </w:tcPr>
          <w:p w14:paraId="21631186" w14:textId="5A206074" w:rsidR="002468A0" w:rsidRPr="00626C4F" w:rsidRDefault="002468A0" w:rsidP="00ED4FE4">
            <w:pPr>
              <w:pStyle w:val="ListParagraph"/>
              <w:ind w:left="0"/>
              <w:jc w:val="center"/>
              <w:rPr>
                <w:rFonts w:ascii="Arial" w:hAnsi="Arial" w:cs="Arial"/>
                <w:b/>
                <w:sz w:val="24"/>
                <w:szCs w:val="24"/>
              </w:rPr>
            </w:pPr>
            <w:r w:rsidRPr="00626C4F">
              <w:rPr>
                <w:rFonts w:ascii="Arial" w:hAnsi="Arial" w:cs="Arial"/>
                <w:b/>
                <w:sz w:val="24"/>
                <w:szCs w:val="24"/>
              </w:rPr>
              <w:t>2022-23</w:t>
            </w:r>
          </w:p>
        </w:tc>
        <w:tc>
          <w:tcPr>
            <w:tcW w:w="0" w:type="auto"/>
            <w:vAlign w:val="center"/>
          </w:tcPr>
          <w:p w14:paraId="70A3FCA5" w14:textId="51913E20" w:rsidR="002468A0" w:rsidRPr="00626C4F" w:rsidRDefault="002468A0" w:rsidP="00ED4FE4">
            <w:pPr>
              <w:pStyle w:val="ListParagraph"/>
              <w:ind w:left="0"/>
              <w:jc w:val="center"/>
              <w:rPr>
                <w:rFonts w:ascii="Arial" w:hAnsi="Arial" w:cs="Arial"/>
                <w:bCs/>
                <w:sz w:val="24"/>
                <w:szCs w:val="24"/>
              </w:rPr>
            </w:pPr>
            <w:r w:rsidRPr="00626C4F">
              <w:rPr>
                <w:rFonts w:ascii="Arial" w:hAnsi="Arial" w:cs="Arial"/>
                <w:bCs/>
                <w:sz w:val="24"/>
                <w:szCs w:val="24"/>
              </w:rPr>
              <w:t>152</w:t>
            </w:r>
          </w:p>
        </w:tc>
        <w:tc>
          <w:tcPr>
            <w:tcW w:w="0" w:type="auto"/>
            <w:vAlign w:val="center"/>
          </w:tcPr>
          <w:p w14:paraId="5E204445" w14:textId="19FA21B2" w:rsidR="002468A0" w:rsidRPr="00626C4F" w:rsidRDefault="002468A0" w:rsidP="00ED4FE4">
            <w:pPr>
              <w:pStyle w:val="ListParagraph"/>
              <w:ind w:left="0"/>
              <w:jc w:val="center"/>
              <w:rPr>
                <w:rFonts w:ascii="Arial" w:hAnsi="Arial" w:cs="Arial"/>
                <w:bCs/>
                <w:sz w:val="24"/>
                <w:szCs w:val="24"/>
              </w:rPr>
            </w:pPr>
            <w:r w:rsidRPr="00626C4F">
              <w:rPr>
                <w:rFonts w:ascii="Arial" w:hAnsi="Arial" w:cs="Arial"/>
                <w:bCs/>
                <w:sz w:val="24"/>
                <w:szCs w:val="24"/>
              </w:rPr>
              <w:t>22</w:t>
            </w:r>
          </w:p>
        </w:tc>
        <w:tc>
          <w:tcPr>
            <w:tcW w:w="1734" w:type="dxa"/>
          </w:tcPr>
          <w:p w14:paraId="16E7EE80" w14:textId="76993B2A" w:rsidR="002468A0" w:rsidRPr="00626C4F" w:rsidRDefault="002468A0" w:rsidP="00ED4FE4">
            <w:pPr>
              <w:pStyle w:val="ListParagraph"/>
              <w:ind w:left="0"/>
              <w:jc w:val="center"/>
              <w:rPr>
                <w:rFonts w:ascii="Arial" w:hAnsi="Arial" w:cs="Arial"/>
                <w:bCs/>
                <w:sz w:val="24"/>
                <w:szCs w:val="24"/>
              </w:rPr>
            </w:pPr>
            <w:r w:rsidRPr="00626C4F">
              <w:rPr>
                <w:rFonts w:ascii="Arial" w:hAnsi="Arial" w:cs="Arial"/>
                <w:bCs/>
                <w:sz w:val="24"/>
                <w:szCs w:val="24"/>
              </w:rPr>
              <w:t>174</w:t>
            </w:r>
          </w:p>
        </w:tc>
      </w:tr>
      <w:tr w:rsidR="00684FE1" w:rsidRPr="00626C4F" w14:paraId="553DB1A8" w14:textId="77777777" w:rsidTr="00ED4FE4">
        <w:trPr>
          <w:jc w:val="center"/>
        </w:trPr>
        <w:tc>
          <w:tcPr>
            <w:tcW w:w="2642" w:type="dxa"/>
            <w:vAlign w:val="center"/>
          </w:tcPr>
          <w:p w14:paraId="3402D5D2" w14:textId="6209A20C" w:rsidR="00684FE1" w:rsidRPr="00626C4F" w:rsidRDefault="00A31CEB" w:rsidP="00ED4FE4">
            <w:pPr>
              <w:pStyle w:val="ListParagraph"/>
              <w:ind w:left="0"/>
              <w:jc w:val="center"/>
              <w:rPr>
                <w:rFonts w:ascii="Arial" w:hAnsi="Arial" w:cs="Arial"/>
                <w:b/>
                <w:szCs w:val="24"/>
              </w:rPr>
            </w:pPr>
            <w:r w:rsidRPr="00A31CEB">
              <w:rPr>
                <w:rFonts w:ascii="Arial" w:hAnsi="Arial" w:cs="Arial"/>
                <w:b/>
                <w:sz w:val="24"/>
                <w:szCs w:val="24"/>
              </w:rPr>
              <w:t>2023-24</w:t>
            </w:r>
          </w:p>
        </w:tc>
        <w:tc>
          <w:tcPr>
            <w:tcW w:w="0" w:type="auto"/>
            <w:vAlign w:val="center"/>
          </w:tcPr>
          <w:p w14:paraId="6BD1A6C3" w14:textId="53CF9E06" w:rsidR="00684FE1" w:rsidRPr="00A31CEB" w:rsidRDefault="00A31CEB" w:rsidP="00ED4FE4">
            <w:pPr>
              <w:pStyle w:val="ListParagraph"/>
              <w:ind w:left="0"/>
              <w:jc w:val="center"/>
              <w:rPr>
                <w:rFonts w:ascii="Arial" w:hAnsi="Arial" w:cs="Arial"/>
                <w:bCs/>
                <w:sz w:val="24"/>
                <w:szCs w:val="24"/>
              </w:rPr>
            </w:pPr>
            <w:r w:rsidRPr="00A31CEB">
              <w:rPr>
                <w:rFonts w:ascii="Arial" w:hAnsi="Arial" w:cs="Arial"/>
                <w:bCs/>
                <w:sz w:val="24"/>
                <w:szCs w:val="24"/>
              </w:rPr>
              <w:t>252</w:t>
            </w:r>
          </w:p>
        </w:tc>
        <w:tc>
          <w:tcPr>
            <w:tcW w:w="0" w:type="auto"/>
            <w:vAlign w:val="center"/>
          </w:tcPr>
          <w:p w14:paraId="64F77FFF" w14:textId="738864B7" w:rsidR="00684FE1" w:rsidRPr="00A31CEB" w:rsidRDefault="00A31CEB" w:rsidP="00ED4FE4">
            <w:pPr>
              <w:pStyle w:val="ListParagraph"/>
              <w:ind w:left="0"/>
              <w:jc w:val="center"/>
              <w:rPr>
                <w:rFonts w:ascii="Arial" w:hAnsi="Arial" w:cs="Arial"/>
                <w:bCs/>
                <w:sz w:val="24"/>
                <w:szCs w:val="24"/>
              </w:rPr>
            </w:pPr>
            <w:r w:rsidRPr="00A31CEB">
              <w:rPr>
                <w:rFonts w:ascii="Arial" w:hAnsi="Arial" w:cs="Arial"/>
                <w:bCs/>
                <w:sz w:val="24"/>
                <w:szCs w:val="24"/>
              </w:rPr>
              <w:t>18</w:t>
            </w:r>
          </w:p>
        </w:tc>
        <w:tc>
          <w:tcPr>
            <w:tcW w:w="1734" w:type="dxa"/>
          </w:tcPr>
          <w:p w14:paraId="05F64EE7" w14:textId="093B812A" w:rsidR="00684FE1" w:rsidRPr="00A31CEB" w:rsidRDefault="00A31CEB" w:rsidP="00ED4FE4">
            <w:pPr>
              <w:pStyle w:val="ListParagraph"/>
              <w:ind w:left="0"/>
              <w:jc w:val="center"/>
              <w:rPr>
                <w:rFonts w:ascii="Arial" w:hAnsi="Arial" w:cs="Arial"/>
                <w:bCs/>
                <w:sz w:val="24"/>
                <w:szCs w:val="24"/>
              </w:rPr>
            </w:pPr>
            <w:r w:rsidRPr="00A31CEB">
              <w:rPr>
                <w:rFonts w:ascii="Arial" w:hAnsi="Arial" w:cs="Arial"/>
                <w:bCs/>
                <w:sz w:val="24"/>
                <w:szCs w:val="24"/>
              </w:rPr>
              <w:t>270</w:t>
            </w:r>
          </w:p>
        </w:tc>
      </w:tr>
      <w:tr w:rsidR="00200F58" w:rsidRPr="00626C4F" w14:paraId="61AA4E99" w14:textId="77777777" w:rsidTr="00ED4FE4">
        <w:trPr>
          <w:jc w:val="center"/>
        </w:trPr>
        <w:tc>
          <w:tcPr>
            <w:tcW w:w="2642" w:type="dxa"/>
            <w:shd w:val="clear" w:color="auto" w:fill="BFBFBF" w:themeFill="background1" w:themeFillShade="BF"/>
            <w:vAlign w:val="center"/>
          </w:tcPr>
          <w:p w14:paraId="56893E78" w14:textId="5B1B84ED" w:rsidR="00200F58" w:rsidRPr="00626C4F" w:rsidRDefault="00200F58" w:rsidP="00ED4FE4">
            <w:pPr>
              <w:pStyle w:val="ListParagraph"/>
              <w:ind w:left="0"/>
              <w:jc w:val="center"/>
              <w:rPr>
                <w:rFonts w:ascii="Arial" w:hAnsi="Arial" w:cs="Arial"/>
                <w:b/>
                <w:sz w:val="24"/>
                <w:szCs w:val="24"/>
              </w:rPr>
            </w:pPr>
            <w:r w:rsidRPr="00626C4F">
              <w:rPr>
                <w:rFonts w:ascii="Arial" w:hAnsi="Arial" w:cs="Arial"/>
                <w:b/>
                <w:sz w:val="24"/>
                <w:szCs w:val="24"/>
              </w:rPr>
              <w:t>202</w:t>
            </w:r>
            <w:r w:rsidR="00A31CEB">
              <w:rPr>
                <w:rFonts w:ascii="Arial" w:hAnsi="Arial" w:cs="Arial"/>
                <w:b/>
                <w:sz w:val="24"/>
                <w:szCs w:val="24"/>
              </w:rPr>
              <w:t>4-25</w:t>
            </w:r>
          </w:p>
        </w:tc>
        <w:tc>
          <w:tcPr>
            <w:tcW w:w="0" w:type="auto"/>
            <w:gridSpan w:val="2"/>
            <w:shd w:val="clear" w:color="auto" w:fill="BFBFBF" w:themeFill="background1" w:themeFillShade="BF"/>
            <w:vAlign w:val="center"/>
          </w:tcPr>
          <w:p w14:paraId="6A2E73B5" w14:textId="77777777" w:rsidR="00200F58" w:rsidRPr="00626C4F" w:rsidRDefault="00200F58" w:rsidP="00ED4FE4">
            <w:pPr>
              <w:pStyle w:val="ListParagraph"/>
              <w:ind w:left="0"/>
              <w:jc w:val="center"/>
              <w:rPr>
                <w:rFonts w:ascii="Arial" w:hAnsi="Arial" w:cs="Arial"/>
                <w:bCs/>
                <w:sz w:val="24"/>
                <w:szCs w:val="24"/>
              </w:rPr>
            </w:pPr>
          </w:p>
        </w:tc>
        <w:tc>
          <w:tcPr>
            <w:tcW w:w="1734" w:type="dxa"/>
            <w:shd w:val="clear" w:color="auto" w:fill="BFBFBF" w:themeFill="background1" w:themeFillShade="BF"/>
          </w:tcPr>
          <w:p w14:paraId="1319D919" w14:textId="77777777" w:rsidR="00200F58" w:rsidRPr="00626C4F" w:rsidRDefault="00200F58" w:rsidP="00ED4FE4">
            <w:pPr>
              <w:pStyle w:val="ListParagraph"/>
              <w:ind w:left="0"/>
              <w:jc w:val="center"/>
              <w:rPr>
                <w:rFonts w:ascii="Arial" w:hAnsi="Arial" w:cs="Arial"/>
                <w:bCs/>
                <w:sz w:val="24"/>
                <w:szCs w:val="24"/>
              </w:rPr>
            </w:pPr>
          </w:p>
        </w:tc>
      </w:tr>
      <w:tr w:rsidR="00200F58" w:rsidRPr="00626C4F" w14:paraId="5C4BC998" w14:textId="77777777" w:rsidTr="00ED4FE4">
        <w:trPr>
          <w:jc w:val="center"/>
        </w:trPr>
        <w:tc>
          <w:tcPr>
            <w:tcW w:w="2642" w:type="dxa"/>
            <w:vAlign w:val="center"/>
          </w:tcPr>
          <w:p w14:paraId="5D963E77" w14:textId="77777777" w:rsidR="00200F58" w:rsidRPr="00626C4F" w:rsidRDefault="00200F58" w:rsidP="00ED4FE4">
            <w:pPr>
              <w:pStyle w:val="ListParagraph"/>
              <w:ind w:left="0"/>
              <w:jc w:val="center"/>
              <w:rPr>
                <w:rFonts w:ascii="Arial" w:hAnsi="Arial" w:cs="Arial"/>
                <w:b/>
                <w:sz w:val="24"/>
                <w:szCs w:val="24"/>
              </w:rPr>
            </w:pPr>
            <w:r w:rsidRPr="00626C4F">
              <w:rPr>
                <w:rFonts w:ascii="Arial" w:hAnsi="Arial" w:cs="Arial"/>
                <w:b/>
                <w:sz w:val="24"/>
                <w:szCs w:val="24"/>
              </w:rPr>
              <w:t>Q1</w:t>
            </w:r>
          </w:p>
        </w:tc>
        <w:tc>
          <w:tcPr>
            <w:tcW w:w="0" w:type="auto"/>
            <w:vAlign w:val="center"/>
          </w:tcPr>
          <w:p w14:paraId="67E730DF" w14:textId="015493E1" w:rsidR="00200F58" w:rsidRPr="00626C4F" w:rsidRDefault="00A31CEB" w:rsidP="00ED4FE4">
            <w:pPr>
              <w:pStyle w:val="ListParagraph"/>
              <w:ind w:left="0"/>
              <w:jc w:val="center"/>
              <w:rPr>
                <w:rFonts w:ascii="Arial" w:hAnsi="Arial" w:cs="Arial"/>
                <w:bCs/>
                <w:sz w:val="24"/>
                <w:szCs w:val="24"/>
              </w:rPr>
            </w:pPr>
            <w:r>
              <w:rPr>
                <w:rFonts w:ascii="Arial" w:hAnsi="Arial" w:cs="Arial"/>
                <w:bCs/>
                <w:sz w:val="24"/>
                <w:szCs w:val="24"/>
              </w:rPr>
              <w:t>32</w:t>
            </w:r>
          </w:p>
        </w:tc>
        <w:tc>
          <w:tcPr>
            <w:tcW w:w="0" w:type="auto"/>
            <w:vAlign w:val="center"/>
          </w:tcPr>
          <w:p w14:paraId="2B4ACC74" w14:textId="24B9D237" w:rsidR="00200F58" w:rsidRPr="00626C4F" w:rsidRDefault="00A31CEB" w:rsidP="00ED4FE4">
            <w:pPr>
              <w:pStyle w:val="ListParagraph"/>
              <w:ind w:left="0"/>
              <w:jc w:val="center"/>
              <w:rPr>
                <w:rFonts w:ascii="Arial" w:hAnsi="Arial" w:cs="Arial"/>
                <w:bCs/>
                <w:sz w:val="24"/>
                <w:szCs w:val="24"/>
              </w:rPr>
            </w:pPr>
            <w:r>
              <w:rPr>
                <w:rFonts w:ascii="Arial" w:hAnsi="Arial" w:cs="Arial"/>
                <w:bCs/>
                <w:sz w:val="24"/>
                <w:szCs w:val="24"/>
              </w:rPr>
              <w:t>2</w:t>
            </w:r>
          </w:p>
        </w:tc>
        <w:tc>
          <w:tcPr>
            <w:tcW w:w="1734" w:type="dxa"/>
          </w:tcPr>
          <w:p w14:paraId="6F925820" w14:textId="45F6408F" w:rsidR="00200F58" w:rsidRPr="00626C4F" w:rsidRDefault="00A31CEB" w:rsidP="00ED4FE4">
            <w:pPr>
              <w:pStyle w:val="ListParagraph"/>
              <w:ind w:left="0"/>
              <w:jc w:val="center"/>
              <w:rPr>
                <w:rFonts w:ascii="Arial" w:hAnsi="Arial" w:cs="Arial"/>
                <w:bCs/>
                <w:sz w:val="24"/>
                <w:szCs w:val="24"/>
              </w:rPr>
            </w:pPr>
            <w:r>
              <w:rPr>
                <w:rFonts w:ascii="Arial" w:hAnsi="Arial" w:cs="Arial"/>
                <w:bCs/>
                <w:sz w:val="24"/>
                <w:szCs w:val="24"/>
              </w:rPr>
              <w:t>34</w:t>
            </w:r>
          </w:p>
        </w:tc>
      </w:tr>
      <w:tr w:rsidR="00B60EAE" w:rsidRPr="00626C4F" w14:paraId="7F9245D8" w14:textId="77777777" w:rsidTr="00ED4FE4">
        <w:trPr>
          <w:jc w:val="center"/>
        </w:trPr>
        <w:tc>
          <w:tcPr>
            <w:tcW w:w="2642" w:type="dxa"/>
            <w:vAlign w:val="center"/>
          </w:tcPr>
          <w:p w14:paraId="5CBE14A1" w14:textId="586D4A82" w:rsidR="00B60EAE" w:rsidRPr="00626C4F" w:rsidRDefault="00B60EAE" w:rsidP="00ED4FE4">
            <w:pPr>
              <w:pStyle w:val="ListParagraph"/>
              <w:ind w:left="0"/>
              <w:jc w:val="center"/>
              <w:rPr>
                <w:rFonts w:ascii="Arial" w:hAnsi="Arial" w:cs="Arial"/>
                <w:b/>
                <w:sz w:val="24"/>
                <w:szCs w:val="24"/>
              </w:rPr>
            </w:pPr>
            <w:r w:rsidRPr="00626C4F">
              <w:rPr>
                <w:rFonts w:ascii="Arial" w:hAnsi="Arial" w:cs="Arial"/>
                <w:b/>
                <w:sz w:val="24"/>
                <w:szCs w:val="24"/>
              </w:rPr>
              <w:t>Q2</w:t>
            </w:r>
          </w:p>
        </w:tc>
        <w:tc>
          <w:tcPr>
            <w:tcW w:w="0" w:type="auto"/>
            <w:vAlign w:val="center"/>
          </w:tcPr>
          <w:p w14:paraId="032A545C" w14:textId="1ED132A9" w:rsidR="00B60EAE" w:rsidRPr="00626C4F" w:rsidRDefault="00405497" w:rsidP="00ED4FE4">
            <w:pPr>
              <w:pStyle w:val="ListParagraph"/>
              <w:ind w:left="0"/>
              <w:jc w:val="center"/>
              <w:rPr>
                <w:rFonts w:ascii="Arial" w:hAnsi="Arial" w:cs="Arial"/>
                <w:bCs/>
                <w:sz w:val="24"/>
                <w:szCs w:val="24"/>
              </w:rPr>
            </w:pPr>
            <w:r>
              <w:rPr>
                <w:rFonts w:ascii="Arial" w:hAnsi="Arial" w:cs="Arial"/>
                <w:bCs/>
                <w:sz w:val="24"/>
                <w:szCs w:val="24"/>
              </w:rPr>
              <w:t>40</w:t>
            </w:r>
          </w:p>
        </w:tc>
        <w:tc>
          <w:tcPr>
            <w:tcW w:w="0" w:type="auto"/>
            <w:vAlign w:val="center"/>
          </w:tcPr>
          <w:p w14:paraId="09F3082B" w14:textId="5A914BD8" w:rsidR="00B60EAE" w:rsidRPr="00626C4F" w:rsidRDefault="00405497" w:rsidP="00ED4FE4">
            <w:pPr>
              <w:pStyle w:val="ListParagraph"/>
              <w:ind w:left="0"/>
              <w:jc w:val="center"/>
              <w:rPr>
                <w:rFonts w:ascii="Arial" w:hAnsi="Arial" w:cs="Arial"/>
                <w:bCs/>
                <w:sz w:val="24"/>
                <w:szCs w:val="24"/>
              </w:rPr>
            </w:pPr>
            <w:r>
              <w:rPr>
                <w:rFonts w:ascii="Arial" w:hAnsi="Arial" w:cs="Arial"/>
                <w:bCs/>
                <w:sz w:val="24"/>
                <w:szCs w:val="24"/>
              </w:rPr>
              <w:t>2</w:t>
            </w:r>
          </w:p>
        </w:tc>
        <w:tc>
          <w:tcPr>
            <w:tcW w:w="1734" w:type="dxa"/>
          </w:tcPr>
          <w:p w14:paraId="4B8D1CAF" w14:textId="074E779B" w:rsidR="00B60EAE" w:rsidRPr="00626C4F" w:rsidRDefault="00405497" w:rsidP="00ED4FE4">
            <w:pPr>
              <w:pStyle w:val="ListParagraph"/>
              <w:ind w:left="0"/>
              <w:jc w:val="center"/>
              <w:rPr>
                <w:rFonts w:ascii="Arial" w:hAnsi="Arial" w:cs="Arial"/>
                <w:bCs/>
                <w:sz w:val="24"/>
                <w:szCs w:val="24"/>
              </w:rPr>
            </w:pPr>
            <w:r>
              <w:rPr>
                <w:rFonts w:ascii="Arial" w:hAnsi="Arial" w:cs="Arial"/>
                <w:bCs/>
                <w:sz w:val="24"/>
                <w:szCs w:val="24"/>
              </w:rPr>
              <w:t>42</w:t>
            </w:r>
          </w:p>
        </w:tc>
      </w:tr>
      <w:tr w:rsidR="00B60EAE" w:rsidRPr="00626C4F" w14:paraId="7BAD8D89" w14:textId="77777777" w:rsidTr="00ED4FE4">
        <w:trPr>
          <w:jc w:val="center"/>
        </w:trPr>
        <w:tc>
          <w:tcPr>
            <w:tcW w:w="2642" w:type="dxa"/>
            <w:vAlign w:val="center"/>
          </w:tcPr>
          <w:p w14:paraId="009D91EB" w14:textId="18755AFA" w:rsidR="00B60EAE" w:rsidRPr="00626C4F" w:rsidRDefault="00B60EAE" w:rsidP="00ED4FE4">
            <w:pPr>
              <w:pStyle w:val="ListParagraph"/>
              <w:ind w:left="0"/>
              <w:jc w:val="center"/>
              <w:rPr>
                <w:rFonts w:ascii="Arial" w:hAnsi="Arial" w:cs="Arial"/>
                <w:b/>
                <w:sz w:val="24"/>
                <w:szCs w:val="24"/>
              </w:rPr>
            </w:pPr>
            <w:r w:rsidRPr="00626C4F">
              <w:rPr>
                <w:rFonts w:ascii="Arial" w:hAnsi="Arial" w:cs="Arial"/>
                <w:b/>
                <w:sz w:val="24"/>
                <w:szCs w:val="24"/>
              </w:rPr>
              <w:t>Q3</w:t>
            </w:r>
          </w:p>
        </w:tc>
        <w:tc>
          <w:tcPr>
            <w:tcW w:w="0" w:type="auto"/>
            <w:vAlign w:val="center"/>
          </w:tcPr>
          <w:p w14:paraId="37F39A3F" w14:textId="36BAF671" w:rsidR="00B60EAE" w:rsidRPr="00626C4F" w:rsidRDefault="00567ACB" w:rsidP="00ED4FE4">
            <w:pPr>
              <w:pStyle w:val="ListParagraph"/>
              <w:ind w:left="0"/>
              <w:jc w:val="center"/>
              <w:rPr>
                <w:rFonts w:ascii="Arial" w:hAnsi="Arial" w:cs="Arial"/>
                <w:bCs/>
                <w:sz w:val="24"/>
                <w:szCs w:val="24"/>
              </w:rPr>
            </w:pPr>
            <w:r>
              <w:rPr>
                <w:rFonts w:ascii="Arial" w:hAnsi="Arial" w:cs="Arial"/>
                <w:bCs/>
                <w:sz w:val="24"/>
                <w:szCs w:val="24"/>
              </w:rPr>
              <w:t>34</w:t>
            </w:r>
          </w:p>
        </w:tc>
        <w:tc>
          <w:tcPr>
            <w:tcW w:w="0" w:type="auto"/>
            <w:vAlign w:val="center"/>
          </w:tcPr>
          <w:p w14:paraId="17712D5F" w14:textId="3D8D186E" w:rsidR="00B60EAE" w:rsidRPr="00626C4F" w:rsidRDefault="00567ACB" w:rsidP="00ED4FE4">
            <w:pPr>
              <w:pStyle w:val="ListParagraph"/>
              <w:ind w:left="0"/>
              <w:jc w:val="center"/>
              <w:rPr>
                <w:rFonts w:ascii="Arial" w:hAnsi="Arial" w:cs="Arial"/>
                <w:bCs/>
                <w:sz w:val="24"/>
                <w:szCs w:val="24"/>
              </w:rPr>
            </w:pPr>
            <w:r>
              <w:rPr>
                <w:rFonts w:ascii="Arial" w:hAnsi="Arial" w:cs="Arial"/>
                <w:bCs/>
                <w:sz w:val="24"/>
                <w:szCs w:val="24"/>
              </w:rPr>
              <w:t>5</w:t>
            </w:r>
          </w:p>
        </w:tc>
        <w:tc>
          <w:tcPr>
            <w:tcW w:w="1734" w:type="dxa"/>
          </w:tcPr>
          <w:p w14:paraId="6BE64337" w14:textId="346494FE" w:rsidR="00B60EAE" w:rsidRPr="00626C4F" w:rsidRDefault="00567ACB" w:rsidP="00ED4FE4">
            <w:pPr>
              <w:pStyle w:val="ListParagraph"/>
              <w:ind w:left="0"/>
              <w:jc w:val="center"/>
              <w:rPr>
                <w:rFonts w:ascii="Arial" w:hAnsi="Arial" w:cs="Arial"/>
                <w:bCs/>
                <w:sz w:val="24"/>
                <w:szCs w:val="24"/>
              </w:rPr>
            </w:pPr>
            <w:r>
              <w:rPr>
                <w:rFonts w:ascii="Arial" w:hAnsi="Arial" w:cs="Arial"/>
                <w:bCs/>
                <w:sz w:val="24"/>
                <w:szCs w:val="24"/>
              </w:rPr>
              <w:t>39</w:t>
            </w:r>
          </w:p>
        </w:tc>
      </w:tr>
      <w:tr w:rsidR="00B60EAE" w:rsidRPr="00626C4F" w14:paraId="65981151" w14:textId="77777777" w:rsidTr="00ED4FE4">
        <w:trPr>
          <w:jc w:val="center"/>
        </w:trPr>
        <w:tc>
          <w:tcPr>
            <w:tcW w:w="2642" w:type="dxa"/>
            <w:vAlign w:val="center"/>
          </w:tcPr>
          <w:p w14:paraId="4BD2A12D" w14:textId="6D25D5A4" w:rsidR="00B60EAE" w:rsidRPr="00626C4F" w:rsidRDefault="00B60EAE" w:rsidP="00ED4FE4">
            <w:pPr>
              <w:pStyle w:val="ListParagraph"/>
              <w:ind w:left="0"/>
              <w:jc w:val="center"/>
              <w:rPr>
                <w:rFonts w:ascii="Arial" w:hAnsi="Arial" w:cs="Arial"/>
                <w:b/>
                <w:sz w:val="24"/>
                <w:szCs w:val="24"/>
              </w:rPr>
            </w:pPr>
            <w:r w:rsidRPr="00626C4F">
              <w:rPr>
                <w:rFonts w:ascii="Arial" w:hAnsi="Arial" w:cs="Arial"/>
                <w:b/>
                <w:sz w:val="24"/>
                <w:szCs w:val="24"/>
              </w:rPr>
              <w:t>Q4</w:t>
            </w:r>
          </w:p>
        </w:tc>
        <w:tc>
          <w:tcPr>
            <w:tcW w:w="0" w:type="auto"/>
            <w:vAlign w:val="center"/>
          </w:tcPr>
          <w:p w14:paraId="6A7E1F73" w14:textId="1158247D" w:rsidR="00B60EAE" w:rsidRPr="00626C4F" w:rsidRDefault="00B60EAE" w:rsidP="00ED4FE4">
            <w:pPr>
              <w:pStyle w:val="ListParagraph"/>
              <w:ind w:left="0"/>
              <w:jc w:val="center"/>
              <w:rPr>
                <w:rFonts w:ascii="Arial" w:hAnsi="Arial" w:cs="Arial"/>
                <w:bCs/>
                <w:sz w:val="24"/>
                <w:szCs w:val="24"/>
              </w:rPr>
            </w:pPr>
          </w:p>
        </w:tc>
        <w:tc>
          <w:tcPr>
            <w:tcW w:w="0" w:type="auto"/>
            <w:vAlign w:val="center"/>
          </w:tcPr>
          <w:p w14:paraId="03897265" w14:textId="4169C284" w:rsidR="00B60EAE" w:rsidRPr="00626C4F" w:rsidRDefault="00B60EAE" w:rsidP="00ED4FE4">
            <w:pPr>
              <w:pStyle w:val="ListParagraph"/>
              <w:ind w:left="0"/>
              <w:jc w:val="center"/>
              <w:rPr>
                <w:rFonts w:ascii="Arial" w:hAnsi="Arial" w:cs="Arial"/>
                <w:bCs/>
                <w:sz w:val="24"/>
                <w:szCs w:val="24"/>
              </w:rPr>
            </w:pPr>
          </w:p>
        </w:tc>
        <w:tc>
          <w:tcPr>
            <w:tcW w:w="1734" w:type="dxa"/>
          </w:tcPr>
          <w:p w14:paraId="4AF64A95" w14:textId="6AB1C89B" w:rsidR="00B60EAE" w:rsidRPr="00626C4F" w:rsidRDefault="00B60EAE" w:rsidP="00ED4FE4">
            <w:pPr>
              <w:pStyle w:val="ListParagraph"/>
              <w:ind w:left="0"/>
              <w:jc w:val="center"/>
              <w:rPr>
                <w:rFonts w:ascii="Arial" w:hAnsi="Arial" w:cs="Arial"/>
                <w:bCs/>
                <w:sz w:val="24"/>
                <w:szCs w:val="24"/>
              </w:rPr>
            </w:pPr>
          </w:p>
        </w:tc>
      </w:tr>
      <w:tr w:rsidR="00200F58" w:rsidRPr="00626C4F" w14:paraId="2D310828" w14:textId="77777777" w:rsidTr="00ED4FE4">
        <w:trPr>
          <w:jc w:val="center"/>
        </w:trPr>
        <w:tc>
          <w:tcPr>
            <w:tcW w:w="2642" w:type="dxa"/>
            <w:vAlign w:val="center"/>
          </w:tcPr>
          <w:p w14:paraId="70B733D7" w14:textId="0BC9C958" w:rsidR="00200F58" w:rsidRPr="00626C4F" w:rsidRDefault="00200F58" w:rsidP="00ED4FE4">
            <w:pPr>
              <w:pStyle w:val="ListParagraph"/>
              <w:ind w:left="0"/>
              <w:jc w:val="center"/>
              <w:rPr>
                <w:rFonts w:ascii="Arial" w:hAnsi="Arial" w:cs="Arial"/>
                <w:b/>
                <w:sz w:val="24"/>
                <w:szCs w:val="24"/>
              </w:rPr>
            </w:pPr>
            <w:r w:rsidRPr="00626C4F">
              <w:rPr>
                <w:rFonts w:ascii="Arial" w:hAnsi="Arial" w:cs="Arial"/>
                <w:b/>
                <w:sz w:val="24"/>
                <w:szCs w:val="24"/>
              </w:rPr>
              <w:t>20</w:t>
            </w:r>
            <w:r w:rsidR="00A31CEB">
              <w:rPr>
                <w:rFonts w:ascii="Arial" w:hAnsi="Arial" w:cs="Arial"/>
                <w:b/>
                <w:sz w:val="24"/>
                <w:szCs w:val="24"/>
              </w:rPr>
              <w:t>24-25</w:t>
            </w:r>
          </w:p>
        </w:tc>
        <w:tc>
          <w:tcPr>
            <w:tcW w:w="0" w:type="auto"/>
            <w:vAlign w:val="center"/>
          </w:tcPr>
          <w:p w14:paraId="3F4CACE0" w14:textId="0B62FA36" w:rsidR="00200F58" w:rsidRPr="00626C4F" w:rsidRDefault="00567ACB" w:rsidP="00ED4FE4">
            <w:pPr>
              <w:pStyle w:val="ListParagraph"/>
              <w:ind w:left="0"/>
              <w:jc w:val="center"/>
              <w:rPr>
                <w:rFonts w:ascii="Arial" w:hAnsi="Arial" w:cs="Arial"/>
                <w:b/>
                <w:sz w:val="24"/>
                <w:szCs w:val="24"/>
              </w:rPr>
            </w:pPr>
            <w:r>
              <w:rPr>
                <w:rFonts w:ascii="Arial" w:hAnsi="Arial" w:cs="Arial"/>
                <w:b/>
                <w:sz w:val="24"/>
                <w:szCs w:val="24"/>
              </w:rPr>
              <w:t>106</w:t>
            </w:r>
          </w:p>
        </w:tc>
        <w:tc>
          <w:tcPr>
            <w:tcW w:w="0" w:type="auto"/>
            <w:vAlign w:val="center"/>
          </w:tcPr>
          <w:p w14:paraId="7B90EB42" w14:textId="6F25A003" w:rsidR="00200F58" w:rsidRPr="00626C4F" w:rsidRDefault="00567ACB" w:rsidP="00ED4FE4">
            <w:pPr>
              <w:pStyle w:val="ListParagraph"/>
              <w:ind w:left="0"/>
              <w:jc w:val="center"/>
              <w:rPr>
                <w:rFonts w:ascii="Arial" w:hAnsi="Arial" w:cs="Arial"/>
                <w:b/>
                <w:sz w:val="24"/>
                <w:szCs w:val="24"/>
              </w:rPr>
            </w:pPr>
            <w:r>
              <w:rPr>
                <w:rFonts w:ascii="Arial" w:hAnsi="Arial" w:cs="Arial"/>
                <w:b/>
                <w:sz w:val="24"/>
                <w:szCs w:val="24"/>
              </w:rPr>
              <w:t>9</w:t>
            </w:r>
          </w:p>
        </w:tc>
        <w:tc>
          <w:tcPr>
            <w:tcW w:w="1734" w:type="dxa"/>
          </w:tcPr>
          <w:p w14:paraId="019E33AC" w14:textId="000F24DA" w:rsidR="00200F58" w:rsidRPr="00626C4F" w:rsidRDefault="00567ACB" w:rsidP="004D246B">
            <w:pPr>
              <w:pStyle w:val="ListParagraph"/>
              <w:ind w:left="0"/>
              <w:jc w:val="center"/>
              <w:rPr>
                <w:rFonts w:ascii="Arial" w:hAnsi="Arial" w:cs="Arial"/>
                <w:b/>
                <w:sz w:val="24"/>
                <w:szCs w:val="24"/>
              </w:rPr>
            </w:pPr>
            <w:r>
              <w:rPr>
                <w:rFonts w:ascii="Arial" w:hAnsi="Arial" w:cs="Arial"/>
                <w:b/>
                <w:sz w:val="24"/>
                <w:szCs w:val="24"/>
              </w:rPr>
              <w:t>115</w:t>
            </w:r>
          </w:p>
        </w:tc>
      </w:tr>
    </w:tbl>
    <w:p w14:paraId="4D12A2A0" w14:textId="77777777" w:rsidR="00200F58" w:rsidRPr="00A42D99" w:rsidRDefault="00200F58" w:rsidP="00200F58">
      <w:pPr>
        <w:pStyle w:val="ListParagraph"/>
        <w:ind w:left="567"/>
        <w:rPr>
          <w:rFonts w:ascii="Arial" w:hAnsi="Arial" w:cs="Arial"/>
          <w:bCs/>
          <w:szCs w:val="24"/>
        </w:rPr>
      </w:pPr>
    </w:p>
    <w:p w14:paraId="5EF5AD07" w14:textId="7B4D1229" w:rsidR="00200F58" w:rsidRPr="00A42D99" w:rsidRDefault="00A31CEB" w:rsidP="00200F58">
      <w:pPr>
        <w:pStyle w:val="ListParagraph"/>
        <w:ind w:left="567"/>
        <w:rPr>
          <w:rFonts w:ascii="Arial" w:hAnsi="Arial" w:cs="Arial"/>
          <w:szCs w:val="24"/>
        </w:rPr>
      </w:pPr>
      <w:r>
        <w:rPr>
          <w:rFonts w:ascii="Arial" w:hAnsi="Arial" w:cs="Arial"/>
          <w:szCs w:val="24"/>
        </w:rPr>
        <w:t>Complaint levels h</w:t>
      </w:r>
      <w:r w:rsidR="002468A0" w:rsidRPr="00A42D99">
        <w:rPr>
          <w:rFonts w:ascii="Arial" w:hAnsi="Arial" w:cs="Arial"/>
          <w:szCs w:val="24"/>
        </w:rPr>
        <w:t>ave remained relatively settled over the past 3 years</w:t>
      </w:r>
      <w:r w:rsidR="000357A2">
        <w:rPr>
          <w:rFonts w:ascii="Arial" w:hAnsi="Arial" w:cs="Arial"/>
          <w:szCs w:val="24"/>
        </w:rPr>
        <w:t>.</w:t>
      </w:r>
    </w:p>
    <w:p w14:paraId="11FBC00F" w14:textId="77777777" w:rsidR="00200F58" w:rsidRPr="00A42D99" w:rsidRDefault="00200F58" w:rsidP="00200F58">
      <w:pPr>
        <w:pStyle w:val="ListParagraph"/>
        <w:ind w:left="567"/>
        <w:rPr>
          <w:rFonts w:ascii="Arial" w:hAnsi="Arial" w:cs="Arial"/>
          <w:szCs w:val="24"/>
        </w:rPr>
      </w:pPr>
    </w:p>
    <w:p w14:paraId="0203C31D" w14:textId="29C92E5D" w:rsidR="00200F58" w:rsidRDefault="00015BDE" w:rsidP="00200F58">
      <w:pPr>
        <w:pStyle w:val="ListParagraph"/>
        <w:ind w:left="567"/>
        <w:rPr>
          <w:rFonts w:ascii="Arial" w:hAnsi="Arial" w:cs="Arial"/>
          <w:szCs w:val="24"/>
        </w:rPr>
      </w:pPr>
      <w:r w:rsidRPr="00A42D99">
        <w:rPr>
          <w:rFonts w:ascii="Arial" w:hAnsi="Arial" w:cs="Arial"/>
          <w:szCs w:val="24"/>
        </w:rPr>
        <w:t xml:space="preserve">The </w:t>
      </w:r>
      <w:r w:rsidR="00435E6E">
        <w:rPr>
          <w:rFonts w:ascii="Arial" w:hAnsi="Arial" w:cs="Arial"/>
          <w:szCs w:val="24"/>
        </w:rPr>
        <w:t>2</w:t>
      </w:r>
      <w:r w:rsidR="00C76849">
        <w:rPr>
          <w:rFonts w:ascii="Arial" w:hAnsi="Arial" w:cs="Arial"/>
          <w:szCs w:val="24"/>
        </w:rPr>
        <w:t>70</w:t>
      </w:r>
      <w:r w:rsidRPr="00A42D99">
        <w:rPr>
          <w:rFonts w:ascii="Arial" w:hAnsi="Arial" w:cs="Arial"/>
          <w:szCs w:val="24"/>
        </w:rPr>
        <w:t xml:space="preserve"> </w:t>
      </w:r>
      <w:r w:rsidR="00D73999">
        <w:rPr>
          <w:rFonts w:ascii="Arial" w:hAnsi="Arial" w:cs="Arial"/>
          <w:szCs w:val="24"/>
        </w:rPr>
        <w:t xml:space="preserve">complaints </w:t>
      </w:r>
      <w:r w:rsidRPr="00A42D99">
        <w:rPr>
          <w:rFonts w:ascii="Arial" w:hAnsi="Arial" w:cs="Arial"/>
          <w:szCs w:val="24"/>
        </w:rPr>
        <w:t xml:space="preserve">received </w:t>
      </w:r>
      <w:r w:rsidR="00435E6E">
        <w:rPr>
          <w:rFonts w:ascii="Arial" w:hAnsi="Arial" w:cs="Arial"/>
          <w:szCs w:val="24"/>
        </w:rPr>
        <w:t xml:space="preserve">during </w:t>
      </w:r>
      <w:r w:rsidR="00A42D99" w:rsidRPr="00A42D99">
        <w:rPr>
          <w:rFonts w:ascii="Arial" w:hAnsi="Arial" w:cs="Arial"/>
          <w:szCs w:val="24"/>
        </w:rPr>
        <w:t>2023-24</w:t>
      </w:r>
      <w:r w:rsidR="00A0102B" w:rsidRPr="00A42D99">
        <w:rPr>
          <w:rFonts w:ascii="Arial" w:hAnsi="Arial" w:cs="Arial"/>
          <w:szCs w:val="24"/>
        </w:rPr>
        <w:t xml:space="preserve"> </w:t>
      </w:r>
      <w:r w:rsidR="00A31CEB">
        <w:rPr>
          <w:rFonts w:ascii="Arial" w:hAnsi="Arial" w:cs="Arial"/>
          <w:szCs w:val="24"/>
        </w:rPr>
        <w:t>was</w:t>
      </w:r>
      <w:r w:rsidR="00A42D99" w:rsidRPr="00A42D99">
        <w:rPr>
          <w:rFonts w:ascii="Arial" w:hAnsi="Arial" w:cs="Arial"/>
          <w:szCs w:val="24"/>
        </w:rPr>
        <w:t xml:space="preserve"> higher-than-expected</w:t>
      </w:r>
      <w:r w:rsidR="00A31CEB">
        <w:rPr>
          <w:rFonts w:ascii="Arial" w:hAnsi="Arial" w:cs="Arial"/>
          <w:szCs w:val="24"/>
        </w:rPr>
        <w:t xml:space="preserve"> but directly</w:t>
      </w:r>
      <w:r w:rsidR="00C76849">
        <w:rPr>
          <w:rFonts w:ascii="Arial" w:hAnsi="Arial" w:cs="Arial"/>
          <w:szCs w:val="24"/>
        </w:rPr>
        <w:t xml:space="preserve"> attributable to changing repairs contractor during the early part of the year </w:t>
      </w:r>
      <w:r w:rsidR="00D73999">
        <w:rPr>
          <w:rFonts w:ascii="Arial" w:hAnsi="Arial" w:cs="Arial"/>
          <w:szCs w:val="24"/>
        </w:rPr>
        <w:t xml:space="preserve">(and failure of our previous contractor in completing many repairs) </w:t>
      </w:r>
      <w:r w:rsidR="00C76849">
        <w:rPr>
          <w:rFonts w:ascii="Arial" w:hAnsi="Arial" w:cs="Arial"/>
          <w:szCs w:val="24"/>
        </w:rPr>
        <w:t>and a significant rise in heating complaints over wi</w:t>
      </w:r>
      <w:r w:rsidR="00A31CEB">
        <w:rPr>
          <w:rFonts w:ascii="Arial" w:hAnsi="Arial" w:cs="Arial"/>
          <w:szCs w:val="24"/>
        </w:rPr>
        <w:t>nter (Q3</w:t>
      </w:r>
      <w:r w:rsidR="00C76849">
        <w:rPr>
          <w:rFonts w:ascii="Arial" w:hAnsi="Arial" w:cs="Arial"/>
          <w:szCs w:val="24"/>
        </w:rPr>
        <w:t>).</w:t>
      </w:r>
    </w:p>
    <w:p w14:paraId="13A70590" w14:textId="77777777" w:rsidR="00A31CEB" w:rsidRDefault="00A31CEB" w:rsidP="00200F58">
      <w:pPr>
        <w:pStyle w:val="ListParagraph"/>
        <w:ind w:left="567"/>
        <w:rPr>
          <w:rFonts w:ascii="Arial" w:hAnsi="Arial" w:cs="Arial"/>
          <w:szCs w:val="24"/>
        </w:rPr>
      </w:pPr>
    </w:p>
    <w:p w14:paraId="0461960B" w14:textId="6383DD84" w:rsidR="00A31CEB" w:rsidRPr="00A42D99" w:rsidRDefault="00A31CEB" w:rsidP="00200F58">
      <w:pPr>
        <w:pStyle w:val="ListParagraph"/>
        <w:ind w:left="567"/>
        <w:rPr>
          <w:rFonts w:ascii="Arial" w:hAnsi="Arial" w:cs="Arial"/>
          <w:bCs/>
          <w:szCs w:val="24"/>
        </w:rPr>
      </w:pPr>
      <w:r>
        <w:rPr>
          <w:rFonts w:ascii="Arial" w:hAnsi="Arial" w:cs="Arial"/>
          <w:szCs w:val="24"/>
        </w:rPr>
        <w:t>Current complaint levels are low</w:t>
      </w:r>
      <w:r w:rsidR="00405497">
        <w:rPr>
          <w:rFonts w:ascii="Arial" w:hAnsi="Arial" w:cs="Arial"/>
          <w:szCs w:val="24"/>
        </w:rPr>
        <w:t xml:space="preserve"> and we look on track to return to pre-2023 levels.</w:t>
      </w:r>
    </w:p>
    <w:p w14:paraId="6560E3D5" w14:textId="77777777" w:rsidR="00200F58" w:rsidRPr="00A42D99" w:rsidRDefault="00200F58" w:rsidP="00200F58">
      <w:pPr>
        <w:pStyle w:val="ListParagraph"/>
        <w:ind w:left="567"/>
        <w:rPr>
          <w:rFonts w:ascii="Arial" w:hAnsi="Arial" w:cs="Arial"/>
          <w:bCs/>
          <w:szCs w:val="24"/>
        </w:rPr>
      </w:pPr>
    </w:p>
    <w:p w14:paraId="51115A57" w14:textId="77777777" w:rsidR="00200F58" w:rsidRPr="0097124E" w:rsidRDefault="00200F58" w:rsidP="00200F58">
      <w:pPr>
        <w:pStyle w:val="ListParagraph"/>
        <w:numPr>
          <w:ilvl w:val="1"/>
          <w:numId w:val="1"/>
        </w:numPr>
        <w:ind w:left="567" w:hanging="567"/>
        <w:rPr>
          <w:rFonts w:ascii="Arial" w:hAnsi="Arial" w:cs="Arial"/>
          <w:bCs/>
          <w:szCs w:val="24"/>
          <w:u w:val="single"/>
        </w:rPr>
      </w:pPr>
      <w:r w:rsidRPr="0097124E">
        <w:rPr>
          <w:rFonts w:ascii="Arial" w:hAnsi="Arial" w:cs="Arial"/>
          <w:bCs/>
          <w:szCs w:val="24"/>
          <w:u w:val="single"/>
        </w:rPr>
        <w:t>Reason for Complaints</w:t>
      </w:r>
    </w:p>
    <w:p w14:paraId="21C3A508" w14:textId="77777777" w:rsidR="00200F58" w:rsidRPr="0097124E" w:rsidRDefault="00200F58" w:rsidP="00200F58">
      <w:pPr>
        <w:rPr>
          <w:rFonts w:ascii="Arial" w:hAnsi="Arial" w:cs="Arial"/>
          <w:bCs/>
          <w:szCs w:val="24"/>
          <w:u w:val="single"/>
        </w:rPr>
      </w:pPr>
    </w:p>
    <w:p w14:paraId="699EED2F" w14:textId="729C7C5E" w:rsidR="00200F58" w:rsidRPr="0097124E" w:rsidRDefault="00200F58" w:rsidP="00200F58">
      <w:pPr>
        <w:pStyle w:val="ListParagraph"/>
        <w:numPr>
          <w:ilvl w:val="0"/>
          <w:numId w:val="2"/>
        </w:numPr>
        <w:ind w:left="993"/>
        <w:rPr>
          <w:rFonts w:ascii="Arial" w:hAnsi="Arial" w:cs="Arial"/>
          <w:bCs/>
          <w:szCs w:val="24"/>
        </w:rPr>
      </w:pPr>
      <w:r w:rsidRPr="0097124E">
        <w:rPr>
          <w:rFonts w:ascii="Arial" w:hAnsi="Arial" w:cs="Arial"/>
          <w:bCs/>
          <w:szCs w:val="24"/>
        </w:rPr>
        <w:t>Housing and Property Services combined account for all complaints</w:t>
      </w:r>
      <w:r w:rsidR="003F7BD5" w:rsidRPr="0097124E">
        <w:rPr>
          <w:rFonts w:ascii="Arial" w:hAnsi="Arial" w:cs="Arial"/>
          <w:bCs/>
          <w:szCs w:val="24"/>
        </w:rPr>
        <w:t xml:space="preserve"> during</w:t>
      </w:r>
      <w:r w:rsidR="000A18A1" w:rsidRPr="0097124E">
        <w:rPr>
          <w:rFonts w:ascii="Arial" w:hAnsi="Arial" w:cs="Arial"/>
          <w:bCs/>
          <w:szCs w:val="24"/>
        </w:rPr>
        <w:t xml:space="preserve"> </w:t>
      </w:r>
      <w:r w:rsidR="00A31CEB">
        <w:rPr>
          <w:rFonts w:ascii="Arial" w:hAnsi="Arial" w:cs="Arial"/>
          <w:bCs/>
          <w:szCs w:val="24"/>
        </w:rPr>
        <w:t>Q</w:t>
      </w:r>
      <w:r w:rsidR="00567ACB">
        <w:rPr>
          <w:rFonts w:ascii="Arial" w:hAnsi="Arial" w:cs="Arial"/>
          <w:bCs/>
          <w:szCs w:val="24"/>
        </w:rPr>
        <w:t>3</w:t>
      </w:r>
      <w:r w:rsidR="00A31CEB">
        <w:rPr>
          <w:rFonts w:ascii="Arial" w:hAnsi="Arial" w:cs="Arial"/>
          <w:bCs/>
          <w:szCs w:val="24"/>
        </w:rPr>
        <w:t xml:space="preserve"> of 2024-25</w:t>
      </w:r>
      <w:r w:rsidR="000A18A1" w:rsidRPr="0097124E">
        <w:rPr>
          <w:rFonts w:ascii="Arial" w:hAnsi="Arial" w:cs="Arial"/>
          <w:bCs/>
          <w:szCs w:val="24"/>
        </w:rPr>
        <w:t>.</w:t>
      </w:r>
    </w:p>
    <w:p w14:paraId="7EB76100" w14:textId="0E0D78B4" w:rsidR="00200F58" w:rsidRPr="0097124E" w:rsidRDefault="00200F58" w:rsidP="00200F58">
      <w:pPr>
        <w:pStyle w:val="ListParagraph"/>
        <w:numPr>
          <w:ilvl w:val="0"/>
          <w:numId w:val="2"/>
        </w:numPr>
        <w:ind w:left="993"/>
        <w:rPr>
          <w:rFonts w:ascii="Arial" w:hAnsi="Arial" w:cs="Arial"/>
          <w:bCs/>
          <w:szCs w:val="24"/>
        </w:rPr>
      </w:pPr>
      <w:r w:rsidRPr="0097124E">
        <w:rPr>
          <w:rFonts w:ascii="Arial" w:hAnsi="Arial" w:cs="Arial"/>
          <w:bCs/>
          <w:szCs w:val="24"/>
        </w:rPr>
        <w:t xml:space="preserve">Reactive Repairs </w:t>
      </w:r>
      <w:r w:rsidR="00A31CEB">
        <w:rPr>
          <w:rFonts w:ascii="Arial" w:hAnsi="Arial" w:cs="Arial"/>
          <w:bCs/>
          <w:szCs w:val="24"/>
        </w:rPr>
        <w:t xml:space="preserve">is the </w:t>
      </w:r>
      <w:r w:rsidRPr="0097124E">
        <w:rPr>
          <w:rFonts w:ascii="Arial" w:hAnsi="Arial" w:cs="Arial"/>
          <w:bCs/>
          <w:szCs w:val="24"/>
        </w:rPr>
        <w:t xml:space="preserve">largest source of Property </w:t>
      </w:r>
      <w:r w:rsidR="00187F8B" w:rsidRPr="0097124E">
        <w:rPr>
          <w:rFonts w:ascii="Arial" w:hAnsi="Arial" w:cs="Arial"/>
          <w:bCs/>
          <w:szCs w:val="24"/>
        </w:rPr>
        <w:t xml:space="preserve">Services </w:t>
      </w:r>
      <w:r w:rsidRPr="0097124E">
        <w:rPr>
          <w:rFonts w:ascii="Arial" w:hAnsi="Arial" w:cs="Arial"/>
          <w:bCs/>
          <w:szCs w:val="24"/>
        </w:rPr>
        <w:t xml:space="preserve">complaints with </w:t>
      </w:r>
      <w:r w:rsidR="00567ACB">
        <w:rPr>
          <w:rFonts w:ascii="Arial" w:hAnsi="Arial" w:cs="Arial"/>
          <w:bCs/>
          <w:szCs w:val="24"/>
        </w:rPr>
        <w:t>58.3</w:t>
      </w:r>
      <w:r w:rsidRPr="0097124E">
        <w:rPr>
          <w:rFonts w:ascii="Arial" w:hAnsi="Arial" w:cs="Arial"/>
          <w:bCs/>
          <w:szCs w:val="24"/>
        </w:rPr>
        <w:t>% during Q</w:t>
      </w:r>
      <w:r w:rsidR="00567ACB">
        <w:rPr>
          <w:rFonts w:ascii="Arial" w:hAnsi="Arial" w:cs="Arial"/>
          <w:bCs/>
          <w:szCs w:val="24"/>
        </w:rPr>
        <w:t>3</w:t>
      </w:r>
      <w:r w:rsidR="00405497">
        <w:rPr>
          <w:rFonts w:ascii="Arial" w:hAnsi="Arial" w:cs="Arial"/>
          <w:bCs/>
          <w:szCs w:val="24"/>
        </w:rPr>
        <w:t xml:space="preserve"> </w:t>
      </w:r>
      <w:r w:rsidRPr="0097124E">
        <w:rPr>
          <w:rFonts w:ascii="Arial" w:hAnsi="Arial" w:cs="Arial"/>
          <w:bCs/>
          <w:szCs w:val="24"/>
        </w:rPr>
        <w:t>of 202</w:t>
      </w:r>
      <w:r w:rsidR="00015BDE" w:rsidRPr="0097124E">
        <w:rPr>
          <w:rFonts w:ascii="Arial" w:hAnsi="Arial" w:cs="Arial"/>
          <w:bCs/>
          <w:szCs w:val="24"/>
        </w:rPr>
        <w:t>4</w:t>
      </w:r>
      <w:r w:rsidR="00A31CEB">
        <w:rPr>
          <w:rFonts w:ascii="Arial" w:hAnsi="Arial" w:cs="Arial"/>
          <w:bCs/>
          <w:szCs w:val="24"/>
        </w:rPr>
        <w:t>-25</w:t>
      </w:r>
      <w:r w:rsidR="008428F9" w:rsidRPr="0097124E">
        <w:rPr>
          <w:rFonts w:ascii="Arial" w:hAnsi="Arial" w:cs="Arial"/>
          <w:bCs/>
          <w:szCs w:val="24"/>
        </w:rPr>
        <w:t xml:space="preserve">. It </w:t>
      </w:r>
      <w:r w:rsidR="00FC4DE1" w:rsidRPr="0097124E">
        <w:rPr>
          <w:rFonts w:ascii="Arial" w:hAnsi="Arial" w:cs="Arial"/>
          <w:bCs/>
          <w:szCs w:val="24"/>
        </w:rPr>
        <w:t xml:space="preserve">also </w:t>
      </w:r>
      <w:r w:rsidR="00D55420" w:rsidRPr="0097124E">
        <w:rPr>
          <w:rFonts w:ascii="Arial" w:hAnsi="Arial" w:cs="Arial"/>
          <w:bCs/>
          <w:szCs w:val="24"/>
        </w:rPr>
        <w:t xml:space="preserve">remains consistently </w:t>
      </w:r>
      <w:r w:rsidR="003F7BD5" w:rsidRPr="0097124E">
        <w:rPr>
          <w:rFonts w:ascii="Arial" w:hAnsi="Arial" w:cs="Arial"/>
          <w:bCs/>
          <w:szCs w:val="24"/>
        </w:rPr>
        <w:t xml:space="preserve">the largest source of </w:t>
      </w:r>
      <w:r w:rsidR="008428F9" w:rsidRPr="0097124E">
        <w:rPr>
          <w:rFonts w:ascii="Arial" w:hAnsi="Arial" w:cs="Arial"/>
          <w:bCs/>
          <w:szCs w:val="24"/>
        </w:rPr>
        <w:t xml:space="preserve">complaint </w:t>
      </w:r>
      <w:r w:rsidR="003F7BD5" w:rsidRPr="0097124E">
        <w:rPr>
          <w:rFonts w:ascii="Arial" w:hAnsi="Arial" w:cs="Arial"/>
          <w:bCs/>
          <w:szCs w:val="24"/>
        </w:rPr>
        <w:t xml:space="preserve">overall </w:t>
      </w:r>
      <w:r w:rsidR="00A31CEB">
        <w:rPr>
          <w:rFonts w:ascii="Arial" w:hAnsi="Arial" w:cs="Arial"/>
          <w:bCs/>
          <w:szCs w:val="24"/>
        </w:rPr>
        <w:t xml:space="preserve">so far in 2024-25 </w:t>
      </w:r>
      <w:r w:rsidR="003F7BD5" w:rsidRPr="0097124E">
        <w:rPr>
          <w:rFonts w:ascii="Arial" w:hAnsi="Arial" w:cs="Arial"/>
          <w:bCs/>
          <w:szCs w:val="24"/>
        </w:rPr>
        <w:t xml:space="preserve">at </w:t>
      </w:r>
      <w:r w:rsidR="00567ACB">
        <w:rPr>
          <w:rFonts w:ascii="Arial" w:hAnsi="Arial" w:cs="Arial"/>
          <w:bCs/>
          <w:szCs w:val="24"/>
        </w:rPr>
        <w:t>55.7</w:t>
      </w:r>
      <w:r w:rsidR="003F7BD5" w:rsidRPr="0097124E">
        <w:rPr>
          <w:rFonts w:ascii="Arial" w:hAnsi="Arial" w:cs="Arial"/>
          <w:bCs/>
          <w:szCs w:val="24"/>
        </w:rPr>
        <w:t>%</w:t>
      </w:r>
      <w:r w:rsidR="003A2FCC" w:rsidRPr="0097124E">
        <w:rPr>
          <w:rFonts w:ascii="Arial" w:hAnsi="Arial" w:cs="Arial"/>
          <w:bCs/>
          <w:szCs w:val="24"/>
        </w:rPr>
        <w:t>.</w:t>
      </w:r>
    </w:p>
    <w:p w14:paraId="5C112B85" w14:textId="77777777" w:rsidR="00200F58" w:rsidRPr="0097124E" w:rsidRDefault="00200F58" w:rsidP="00200F58">
      <w:pPr>
        <w:pStyle w:val="ListParagraph"/>
        <w:ind w:left="567"/>
        <w:rPr>
          <w:rFonts w:ascii="Arial" w:hAnsi="Arial" w:cs="Arial"/>
          <w:bCs/>
          <w:szCs w:val="24"/>
        </w:rPr>
      </w:pPr>
    </w:p>
    <w:p w14:paraId="19BF6429" w14:textId="77777777" w:rsidR="00200F58" w:rsidRPr="0097124E" w:rsidRDefault="00200F58" w:rsidP="00200F58">
      <w:pPr>
        <w:pStyle w:val="ListParagraph"/>
        <w:numPr>
          <w:ilvl w:val="1"/>
          <w:numId w:val="1"/>
        </w:numPr>
        <w:ind w:left="567" w:hanging="567"/>
        <w:rPr>
          <w:rFonts w:ascii="Arial" w:hAnsi="Arial" w:cs="Arial"/>
          <w:bCs/>
          <w:szCs w:val="24"/>
        </w:rPr>
      </w:pPr>
      <w:r w:rsidRPr="0097124E">
        <w:rPr>
          <w:rFonts w:ascii="Arial" w:hAnsi="Arial" w:cs="Arial"/>
          <w:bCs/>
          <w:szCs w:val="24"/>
          <w:u w:val="single"/>
        </w:rPr>
        <w:t>Complaints relating to Equalities Issues</w:t>
      </w:r>
    </w:p>
    <w:p w14:paraId="5E724060" w14:textId="278F85FB" w:rsidR="00200F58" w:rsidRPr="0097124E" w:rsidRDefault="00C300E1" w:rsidP="00200F58">
      <w:pPr>
        <w:pStyle w:val="ListParagraph"/>
        <w:ind w:left="567"/>
        <w:rPr>
          <w:rFonts w:ascii="Arial" w:hAnsi="Arial" w:cs="Arial"/>
          <w:bCs/>
          <w:szCs w:val="24"/>
        </w:rPr>
      </w:pPr>
      <w:r w:rsidRPr="0097124E">
        <w:rPr>
          <w:rFonts w:ascii="Arial" w:hAnsi="Arial" w:cs="Arial"/>
          <w:bCs/>
          <w:szCs w:val="24"/>
        </w:rPr>
        <w:t xml:space="preserve">During </w:t>
      </w:r>
      <w:r w:rsidR="00A31CEB">
        <w:rPr>
          <w:rFonts w:ascii="Arial" w:hAnsi="Arial" w:cs="Arial"/>
          <w:bCs/>
          <w:szCs w:val="24"/>
        </w:rPr>
        <w:t>2024-25</w:t>
      </w:r>
      <w:r w:rsidR="000A18A1" w:rsidRPr="0097124E">
        <w:rPr>
          <w:rFonts w:ascii="Arial" w:hAnsi="Arial" w:cs="Arial"/>
          <w:bCs/>
          <w:szCs w:val="24"/>
        </w:rPr>
        <w:t xml:space="preserve"> t</w:t>
      </w:r>
      <w:r w:rsidR="00200F58" w:rsidRPr="0097124E">
        <w:rPr>
          <w:rFonts w:ascii="Arial" w:hAnsi="Arial" w:cs="Arial"/>
          <w:bCs/>
          <w:szCs w:val="24"/>
        </w:rPr>
        <w:t>here have been no complaints relating to Equalities Issues.</w:t>
      </w:r>
    </w:p>
    <w:p w14:paraId="601C87A7" w14:textId="77777777" w:rsidR="00200F58" w:rsidRPr="0097124E" w:rsidRDefault="00200F58" w:rsidP="00200F58">
      <w:pPr>
        <w:pStyle w:val="ListParagraph"/>
        <w:ind w:left="567"/>
        <w:rPr>
          <w:rFonts w:ascii="Arial" w:hAnsi="Arial" w:cs="Arial"/>
          <w:bCs/>
          <w:szCs w:val="24"/>
        </w:rPr>
      </w:pPr>
    </w:p>
    <w:p w14:paraId="418CF745" w14:textId="77777777" w:rsidR="00200F58" w:rsidRPr="00AC049B" w:rsidRDefault="00200F58" w:rsidP="00200F58">
      <w:pPr>
        <w:pStyle w:val="ListParagraph"/>
        <w:numPr>
          <w:ilvl w:val="1"/>
          <w:numId w:val="1"/>
        </w:numPr>
        <w:ind w:left="567" w:hanging="567"/>
        <w:rPr>
          <w:rFonts w:ascii="Arial" w:hAnsi="Arial" w:cs="Arial"/>
          <w:bCs/>
          <w:szCs w:val="24"/>
        </w:rPr>
      </w:pPr>
      <w:r w:rsidRPr="00AC049B">
        <w:rPr>
          <w:rFonts w:ascii="Arial" w:hAnsi="Arial" w:cs="Arial"/>
          <w:bCs/>
          <w:szCs w:val="24"/>
          <w:u w:val="single"/>
        </w:rPr>
        <w:t>Average Time Taken</w:t>
      </w:r>
    </w:p>
    <w:p w14:paraId="57F6F798" w14:textId="43D97839" w:rsidR="00200F58" w:rsidRPr="00AC049B" w:rsidRDefault="00200F58" w:rsidP="00200F58">
      <w:pPr>
        <w:pStyle w:val="ListParagraph"/>
        <w:ind w:left="567"/>
        <w:rPr>
          <w:rFonts w:ascii="Arial" w:hAnsi="Arial" w:cs="Arial"/>
          <w:bCs/>
          <w:szCs w:val="24"/>
        </w:rPr>
      </w:pPr>
      <w:r w:rsidRPr="00AC049B">
        <w:rPr>
          <w:rFonts w:ascii="Arial" w:hAnsi="Arial" w:cs="Arial"/>
          <w:bCs/>
          <w:szCs w:val="24"/>
        </w:rPr>
        <w:t xml:space="preserve">During </w:t>
      </w:r>
      <w:r w:rsidR="000D111B" w:rsidRPr="00AC049B">
        <w:rPr>
          <w:rFonts w:ascii="Arial" w:hAnsi="Arial" w:cs="Arial"/>
          <w:bCs/>
          <w:szCs w:val="24"/>
        </w:rPr>
        <w:t>Q</w:t>
      </w:r>
      <w:r w:rsidR="00567ACB">
        <w:rPr>
          <w:rFonts w:ascii="Arial" w:hAnsi="Arial" w:cs="Arial"/>
          <w:bCs/>
          <w:szCs w:val="24"/>
        </w:rPr>
        <w:t>3</w:t>
      </w:r>
      <w:r w:rsidRPr="00AC049B">
        <w:rPr>
          <w:rFonts w:ascii="Arial" w:hAnsi="Arial" w:cs="Arial"/>
          <w:bCs/>
          <w:szCs w:val="24"/>
        </w:rPr>
        <w:t>:</w:t>
      </w:r>
    </w:p>
    <w:p w14:paraId="388560C7" w14:textId="77777777" w:rsidR="00200F58" w:rsidRPr="00AC049B" w:rsidRDefault="00200F58" w:rsidP="00200F58">
      <w:pPr>
        <w:pStyle w:val="ListParagraph"/>
        <w:ind w:left="567"/>
        <w:rPr>
          <w:rFonts w:ascii="Arial" w:hAnsi="Arial" w:cs="Arial"/>
          <w:bCs/>
          <w:szCs w:val="24"/>
        </w:rPr>
      </w:pPr>
    </w:p>
    <w:p w14:paraId="6FDE94F9" w14:textId="5D4C6110" w:rsidR="00200F58" w:rsidRPr="00AC049B" w:rsidRDefault="000357A2" w:rsidP="00200F58">
      <w:pPr>
        <w:pStyle w:val="ListParagraph"/>
        <w:numPr>
          <w:ilvl w:val="0"/>
          <w:numId w:val="3"/>
        </w:numPr>
        <w:ind w:left="851"/>
        <w:rPr>
          <w:rFonts w:ascii="Arial" w:hAnsi="Arial" w:cs="Arial"/>
          <w:bCs/>
          <w:szCs w:val="24"/>
        </w:rPr>
      </w:pPr>
      <w:r>
        <w:rPr>
          <w:rFonts w:ascii="Arial" w:hAnsi="Arial" w:cs="Arial"/>
          <w:bCs/>
          <w:szCs w:val="24"/>
        </w:rPr>
        <w:t>Stage 1 - A</w:t>
      </w:r>
      <w:r w:rsidR="00200F58" w:rsidRPr="00AC049B">
        <w:rPr>
          <w:rFonts w:ascii="Arial" w:hAnsi="Arial" w:cs="Arial"/>
          <w:bCs/>
          <w:szCs w:val="24"/>
        </w:rPr>
        <w:t xml:space="preserve">verage time taken in working days </w:t>
      </w:r>
      <w:r>
        <w:rPr>
          <w:rFonts w:ascii="Arial" w:hAnsi="Arial" w:cs="Arial"/>
          <w:bCs/>
          <w:szCs w:val="24"/>
        </w:rPr>
        <w:t xml:space="preserve"> - </w:t>
      </w:r>
      <w:r w:rsidR="00405497">
        <w:rPr>
          <w:rFonts w:ascii="Arial" w:hAnsi="Arial" w:cs="Arial"/>
          <w:bCs/>
          <w:szCs w:val="24"/>
        </w:rPr>
        <w:t>1.</w:t>
      </w:r>
      <w:r w:rsidR="00567ACB">
        <w:rPr>
          <w:rFonts w:ascii="Arial" w:hAnsi="Arial" w:cs="Arial"/>
          <w:bCs/>
          <w:szCs w:val="24"/>
        </w:rPr>
        <w:t>88</w:t>
      </w:r>
      <w:r w:rsidR="00AC049B" w:rsidRPr="00AC049B">
        <w:rPr>
          <w:rFonts w:ascii="Arial" w:hAnsi="Arial" w:cs="Arial"/>
          <w:bCs/>
          <w:szCs w:val="24"/>
        </w:rPr>
        <w:t xml:space="preserve"> </w:t>
      </w:r>
      <w:r w:rsidR="00200F58" w:rsidRPr="00AC049B">
        <w:rPr>
          <w:rFonts w:ascii="Arial" w:hAnsi="Arial" w:cs="Arial"/>
          <w:bCs/>
          <w:szCs w:val="24"/>
        </w:rPr>
        <w:t xml:space="preserve">days (Target </w:t>
      </w:r>
      <w:r>
        <w:rPr>
          <w:rFonts w:ascii="Arial" w:hAnsi="Arial" w:cs="Arial"/>
          <w:bCs/>
          <w:szCs w:val="24"/>
        </w:rPr>
        <w:t xml:space="preserve">- </w:t>
      </w:r>
      <w:r w:rsidR="002F50DD" w:rsidRPr="00AC049B">
        <w:rPr>
          <w:rFonts w:ascii="Arial" w:hAnsi="Arial" w:cs="Arial"/>
          <w:bCs/>
          <w:szCs w:val="24"/>
        </w:rPr>
        <w:t>4</w:t>
      </w:r>
      <w:r w:rsidR="00200F58" w:rsidRPr="00AC049B">
        <w:rPr>
          <w:rFonts w:ascii="Arial" w:hAnsi="Arial" w:cs="Arial"/>
          <w:bCs/>
          <w:szCs w:val="24"/>
        </w:rPr>
        <w:t xml:space="preserve"> days).</w:t>
      </w:r>
    </w:p>
    <w:p w14:paraId="4905F6C3" w14:textId="0D6AC376" w:rsidR="00200F58" w:rsidRPr="00AC049B" w:rsidRDefault="000357A2" w:rsidP="00200F58">
      <w:pPr>
        <w:pStyle w:val="ListParagraph"/>
        <w:numPr>
          <w:ilvl w:val="0"/>
          <w:numId w:val="3"/>
        </w:numPr>
        <w:ind w:left="851"/>
        <w:rPr>
          <w:rFonts w:ascii="Arial" w:hAnsi="Arial" w:cs="Arial"/>
          <w:bCs/>
          <w:szCs w:val="24"/>
        </w:rPr>
      </w:pPr>
      <w:r>
        <w:rPr>
          <w:rFonts w:ascii="Arial" w:hAnsi="Arial" w:cs="Arial"/>
          <w:bCs/>
          <w:szCs w:val="24"/>
        </w:rPr>
        <w:t xml:space="preserve">Stage 2 – Average </w:t>
      </w:r>
      <w:r w:rsidR="00200F58" w:rsidRPr="00AC049B">
        <w:rPr>
          <w:rFonts w:ascii="Arial" w:hAnsi="Arial" w:cs="Arial"/>
          <w:bCs/>
          <w:szCs w:val="24"/>
        </w:rPr>
        <w:t>time taken in working days</w:t>
      </w:r>
      <w:r>
        <w:rPr>
          <w:rFonts w:ascii="Arial" w:hAnsi="Arial" w:cs="Arial"/>
          <w:bCs/>
          <w:szCs w:val="24"/>
        </w:rPr>
        <w:t xml:space="preserve"> </w:t>
      </w:r>
      <w:r w:rsidR="00405497">
        <w:rPr>
          <w:rFonts w:ascii="Arial" w:hAnsi="Arial" w:cs="Arial"/>
          <w:bCs/>
          <w:szCs w:val="24"/>
        </w:rPr>
        <w:t>–</w:t>
      </w:r>
      <w:r>
        <w:rPr>
          <w:rFonts w:ascii="Arial" w:hAnsi="Arial" w:cs="Arial"/>
          <w:bCs/>
          <w:szCs w:val="24"/>
        </w:rPr>
        <w:t xml:space="preserve"> </w:t>
      </w:r>
      <w:r w:rsidR="00567ACB">
        <w:rPr>
          <w:rFonts w:ascii="Arial" w:hAnsi="Arial" w:cs="Arial"/>
          <w:bCs/>
          <w:szCs w:val="24"/>
        </w:rPr>
        <w:t>7.80</w:t>
      </w:r>
      <w:r w:rsidR="00200F58" w:rsidRPr="00AC049B">
        <w:rPr>
          <w:rFonts w:ascii="Arial" w:hAnsi="Arial" w:cs="Arial"/>
          <w:bCs/>
          <w:szCs w:val="24"/>
        </w:rPr>
        <w:t xml:space="preserve"> days (Target </w:t>
      </w:r>
      <w:r>
        <w:rPr>
          <w:rFonts w:ascii="Arial" w:hAnsi="Arial" w:cs="Arial"/>
          <w:bCs/>
          <w:szCs w:val="24"/>
        </w:rPr>
        <w:t xml:space="preserve">- </w:t>
      </w:r>
      <w:r w:rsidR="00200F58" w:rsidRPr="00AC049B">
        <w:rPr>
          <w:rFonts w:ascii="Arial" w:hAnsi="Arial" w:cs="Arial"/>
          <w:bCs/>
          <w:szCs w:val="24"/>
        </w:rPr>
        <w:t>20 days).</w:t>
      </w:r>
    </w:p>
    <w:p w14:paraId="04D87CAC" w14:textId="69241D3C" w:rsidR="00200F58" w:rsidRPr="00AC049B" w:rsidRDefault="00200F58" w:rsidP="00200F58">
      <w:pPr>
        <w:pStyle w:val="ListParagraph"/>
        <w:ind w:left="567"/>
        <w:rPr>
          <w:rFonts w:ascii="Arial" w:hAnsi="Arial" w:cs="Arial"/>
          <w:bCs/>
          <w:szCs w:val="24"/>
        </w:rPr>
      </w:pPr>
    </w:p>
    <w:p w14:paraId="29826E20" w14:textId="1ABC32EF" w:rsidR="00300B98" w:rsidRPr="00AC049B" w:rsidRDefault="00405497" w:rsidP="00200F58">
      <w:pPr>
        <w:pStyle w:val="ListParagraph"/>
        <w:ind w:left="567"/>
        <w:rPr>
          <w:rFonts w:ascii="Arial" w:hAnsi="Arial" w:cs="Arial"/>
          <w:bCs/>
          <w:szCs w:val="24"/>
        </w:rPr>
      </w:pPr>
      <w:r>
        <w:rPr>
          <w:rFonts w:ascii="Arial" w:hAnsi="Arial" w:cs="Arial"/>
          <w:bCs/>
          <w:szCs w:val="24"/>
        </w:rPr>
        <w:t>For the year</w:t>
      </w:r>
      <w:r w:rsidR="00A31CEB">
        <w:rPr>
          <w:rFonts w:ascii="Arial" w:hAnsi="Arial" w:cs="Arial"/>
          <w:bCs/>
          <w:szCs w:val="24"/>
        </w:rPr>
        <w:t xml:space="preserve"> to date</w:t>
      </w:r>
      <w:r w:rsidR="00F756E6">
        <w:rPr>
          <w:rFonts w:ascii="Arial" w:hAnsi="Arial" w:cs="Arial"/>
          <w:bCs/>
          <w:szCs w:val="24"/>
        </w:rPr>
        <w:t xml:space="preserve">, we </w:t>
      </w:r>
      <w:r w:rsidR="00A31CEB">
        <w:rPr>
          <w:rFonts w:ascii="Arial" w:hAnsi="Arial" w:cs="Arial"/>
          <w:bCs/>
          <w:szCs w:val="24"/>
        </w:rPr>
        <w:t xml:space="preserve">are </w:t>
      </w:r>
      <w:r w:rsidR="00F756E6">
        <w:rPr>
          <w:rFonts w:ascii="Arial" w:hAnsi="Arial" w:cs="Arial"/>
          <w:bCs/>
          <w:szCs w:val="24"/>
        </w:rPr>
        <w:t>exceed</w:t>
      </w:r>
      <w:r w:rsidR="00A31CEB">
        <w:rPr>
          <w:rFonts w:ascii="Arial" w:hAnsi="Arial" w:cs="Arial"/>
          <w:bCs/>
          <w:szCs w:val="24"/>
        </w:rPr>
        <w:t>ing</w:t>
      </w:r>
      <w:r w:rsidR="00F756E6">
        <w:rPr>
          <w:rFonts w:ascii="Arial" w:hAnsi="Arial" w:cs="Arial"/>
          <w:bCs/>
          <w:szCs w:val="24"/>
        </w:rPr>
        <w:t xml:space="preserve"> our target</w:t>
      </w:r>
      <w:r w:rsidR="00A31CEB">
        <w:rPr>
          <w:rFonts w:ascii="Arial" w:hAnsi="Arial" w:cs="Arial"/>
          <w:bCs/>
          <w:szCs w:val="24"/>
        </w:rPr>
        <w:t>s</w:t>
      </w:r>
      <w:r w:rsidR="00F756E6">
        <w:rPr>
          <w:rFonts w:ascii="Arial" w:hAnsi="Arial" w:cs="Arial"/>
          <w:bCs/>
          <w:szCs w:val="24"/>
        </w:rPr>
        <w:t xml:space="preserve"> </w:t>
      </w:r>
      <w:r w:rsidR="00015BDE" w:rsidRPr="00AC049B">
        <w:rPr>
          <w:rFonts w:ascii="Arial" w:hAnsi="Arial" w:cs="Arial"/>
          <w:bCs/>
          <w:szCs w:val="24"/>
        </w:rPr>
        <w:t xml:space="preserve">for </w:t>
      </w:r>
      <w:r w:rsidR="00A31CEB">
        <w:rPr>
          <w:rFonts w:ascii="Arial" w:hAnsi="Arial" w:cs="Arial"/>
          <w:bCs/>
          <w:szCs w:val="24"/>
        </w:rPr>
        <w:t xml:space="preserve">both </w:t>
      </w:r>
      <w:r w:rsidR="00300B98" w:rsidRPr="00AC049B">
        <w:rPr>
          <w:rFonts w:ascii="Arial" w:hAnsi="Arial" w:cs="Arial"/>
          <w:bCs/>
          <w:szCs w:val="24"/>
        </w:rPr>
        <w:t xml:space="preserve">Stage 1 </w:t>
      </w:r>
      <w:r w:rsidR="00A31CEB">
        <w:rPr>
          <w:rFonts w:ascii="Arial" w:hAnsi="Arial" w:cs="Arial"/>
          <w:bCs/>
          <w:szCs w:val="24"/>
        </w:rPr>
        <w:t xml:space="preserve">and </w:t>
      </w:r>
      <w:r w:rsidR="00300B98" w:rsidRPr="00AC049B">
        <w:rPr>
          <w:rFonts w:ascii="Arial" w:hAnsi="Arial" w:cs="Arial"/>
          <w:bCs/>
          <w:szCs w:val="24"/>
        </w:rPr>
        <w:t xml:space="preserve">Stage 2 </w:t>
      </w:r>
      <w:r w:rsidR="00A31CEB">
        <w:rPr>
          <w:rFonts w:ascii="Arial" w:hAnsi="Arial" w:cs="Arial"/>
          <w:bCs/>
          <w:szCs w:val="24"/>
        </w:rPr>
        <w:t>complaints</w:t>
      </w:r>
      <w:r>
        <w:rPr>
          <w:rFonts w:ascii="Arial" w:hAnsi="Arial" w:cs="Arial"/>
          <w:bCs/>
          <w:szCs w:val="24"/>
        </w:rPr>
        <w:t xml:space="preserve"> averaging 1.</w:t>
      </w:r>
      <w:r w:rsidR="00567ACB">
        <w:rPr>
          <w:rFonts w:ascii="Arial" w:hAnsi="Arial" w:cs="Arial"/>
          <w:bCs/>
          <w:szCs w:val="24"/>
        </w:rPr>
        <w:t>74</w:t>
      </w:r>
      <w:r>
        <w:rPr>
          <w:rFonts w:ascii="Arial" w:hAnsi="Arial" w:cs="Arial"/>
          <w:bCs/>
          <w:szCs w:val="24"/>
        </w:rPr>
        <w:t xml:space="preserve"> and </w:t>
      </w:r>
      <w:r w:rsidR="00567ACB">
        <w:rPr>
          <w:rFonts w:ascii="Arial" w:hAnsi="Arial" w:cs="Arial"/>
          <w:bCs/>
          <w:szCs w:val="24"/>
        </w:rPr>
        <w:t>8.33</w:t>
      </w:r>
      <w:r>
        <w:rPr>
          <w:rFonts w:ascii="Arial" w:hAnsi="Arial" w:cs="Arial"/>
          <w:bCs/>
          <w:szCs w:val="24"/>
        </w:rPr>
        <w:t xml:space="preserve"> working days respectively</w:t>
      </w:r>
      <w:r w:rsidR="00AC049B" w:rsidRPr="00AC049B">
        <w:rPr>
          <w:rFonts w:ascii="Arial" w:hAnsi="Arial" w:cs="Arial"/>
          <w:bCs/>
          <w:szCs w:val="24"/>
        </w:rPr>
        <w:t>.</w:t>
      </w:r>
    </w:p>
    <w:p w14:paraId="00AA382E" w14:textId="108D1E2F" w:rsidR="00300B98" w:rsidRPr="00AC049B" w:rsidRDefault="00300B98" w:rsidP="00200F58">
      <w:pPr>
        <w:pStyle w:val="ListParagraph"/>
        <w:ind w:left="567"/>
        <w:rPr>
          <w:rFonts w:ascii="Arial" w:hAnsi="Arial" w:cs="Arial"/>
          <w:bCs/>
          <w:szCs w:val="24"/>
        </w:rPr>
      </w:pPr>
    </w:p>
    <w:p w14:paraId="00338032" w14:textId="7B675120" w:rsidR="00200F58" w:rsidRPr="0040581C" w:rsidRDefault="00200F58" w:rsidP="00200F58">
      <w:pPr>
        <w:pStyle w:val="ListParagraph"/>
        <w:numPr>
          <w:ilvl w:val="1"/>
          <w:numId w:val="1"/>
        </w:numPr>
        <w:ind w:left="567" w:hanging="567"/>
        <w:rPr>
          <w:rFonts w:ascii="Arial" w:hAnsi="Arial" w:cs="Arial"/>
          <w:bCs/>
          <w:szCs w:val="24"/>
        </w:rPr>
      </w:pPr>
      <w:r w:rsidRPr="0040581C">
        <w:rPr>
          <w:rFonts w:ascii="Arial" w:hAnsi="Arial" w:cs="Arial"/>
          <w:bCs/>
          <w:szCs w:val="24"/>
          <w:u w:val="single"/>
        </w:rPr>
        <w:t>Complaint</w:t>
      </w:r>
      <w:r w:rsidR="005F393B" w:rsidRPr="0040581C">
        <w:rPr>
          <w:rFonts w:ascii="Arial" w:hAnsi="Arial" w:cs="Arial"/>
          <w:bCs/>
          <w:szCs w:val="24"/>
          <w:u w:val="single"/>
        </w:rPr>
        <w:t xml:space="preserve"> Resolution</w:t>
      </w:r>
    </w:p>
    <w:p w14:paraId="6CE07259" w14:textId="020622D8" w:rsidR="005F393B" w:rsidRPr="0040581C" w:rsidRDefault="005F393B" w:rsidP="00200F58">
      <w:pPr>
        <w:pStyle w:val="ListParagraph"/>
        <w:ind w:left="567"/>
        <w:rPr>
          <w:rFonts w:ascii="Arial" w:hAnsi="Arial" w:cs="Arial"/>
          <w:bCs/>
          <w:szCs w:val="24"/>
        </w:rPr>
      </w:pPr>
      <w:r w:rsidRPr="0040581C">
        <w:rPr>
          <w:rFonts w:ascii="Arial" w:hAnsi="Arial" w:cs="Arial"/>
          <w:bCs/>
          <w:szCs w:val="24"/>
        </w:rPr>
        <w:t xml:space="preserve">The table </w:t>
      </w:r>
      <w:r w:rsidR="000357A2">
        <w:rPr>
          <w:rFonts w:ascii="Arial" w:hAnsi="Arial" w:cs="Arial"/>
          <w:bCs/>
          <w:szCs w:val="24"/>
        </w:rPr>
        <w:t>overleaf</w:t>
      </w:r>
      <w:r w:rsidRPr="0040581C">
        <w:rPr>
          <w:rFonts w:ascii="Arial" w:hAnsi="Arial" w:cs="Arial"/>
          <w:bCs/>
          <w:szCs w:val="24"/>
        </w:rPr>
        <w:t xml:space="preserve"> shows the level of complaints resolved, upheld, partially upheld or not upheld per Quarter during </w:t>
      </w:r>
      <w:r w:rsidR="006E415D">
        <w:rPr>
          <w:rFonts w:ascii="Arial" w:hAnsi="Arial" w:cs="Arial"/>
          <w:bCs/>
          <w:szCs w:val="24"/>
        </w:rPr>
        <w:t>2024-25</w:t>
      </w:r>
      <w:r w:rsidRPr="0040581C">
        <w:rPr>
          <w:rFonts w:ascii="Arial" w:hAnsi="Arial" w:cs="Arial"/>
          <w:bCs/>
          <w:szCs w:val="24"/>
        </w:rPr>
        <w:t>.</w:t>
      </w:r>
    </w:p>
    <w:p w14:paraId="2D8B43ED" w14:textId="77777777" w:rsidR="00C16EE5" w:rsidRDefault="00C16EE5" w:rsidP="00200F58">
      <w:pPr>
        <w:pStyle w:val="ListParagraph"/>
        <w:ind w:left="567"/>
        <w:rPr>
          <w:rFonts w:ascii="Arial" w:hAnsi="Arial" w:cs="Arial"/>
          <w:bCs/>
          <w:szCs w:val="24"/>
        </w:rPr>
      </w:pPr>
    </w:p>
    <w:p w14:paraId="6D8D1FAA" w14:textId="77777777" w:rsidR="00567ACB" w:rsidRPr="0040581C" w:rsidRDefault="00567ACB" w:rsidP="00200F58">
      <w:pPr>
        <w:pStyle w:val="ListParagraph"/>
        <w:ind w:left="567"/>
        <w:rPr>
          <w:rFonts w:ascii="Arial" w:hAnsi="Arial" w:cs="Arial"/>
          <w:bCs/>
          <w:szCs w:val="24"/>
        </w:rPr>
      </w:pPr>
    </w:p>
    <w:tbl>
      <w:tblPr>
        <w:tblStyle w:val="TableGrid"/>
        <w:tblW w:w="0" w:type="auto"/>
        <w:jc w:val="center"/>
        <w:tblLook w:val="04A0" w:firstRow="1" w:lastRow="0" w:firstColumn="1" w:lastColumn="0" w:noHBand="0" w:noVBand="1"/>
      </w:tblPr>
      <w:tblGrid>
        <w:gridCol w:w="1656"/>
        <w:gridCol w:w="1298"/>
        <w:gridCol w:w="1298"/>
        <w:gridCol w:w="1299"/>
        <w:gridCol w:w="372"/>
        <w:gridCol w:w="2224"/>
      </w:tblGrid>
      <w:tr w:rsidR="008428F9" w:rsidRPr="00626C4F" w14:paraId="49CA4EE4" w14:textId="77777777" w:rsidTr="008428F9">
        <w:trPr>
          <w:trHeight w:val="739"/>
          <w:jc w:val="center"/>
        </w:trPr>
        <w:tc>
          <w:tcPr>
            <w:tcW w:w="1656" w:type="dxa"/>
            <w:shd w:val="clear" w:color="auto" w:fill="BFBFBF" w:themeFill="background1" w:themeFillShade="BF"/>
            <w:vAlign w:val="center"/>
          </w:tcPr>
          <w:p w14:paraId="449BF314" w14:textId="77777777" w:rsidR="008428F9" w:rsidRPr="00626C4F" w:rsidRDefault="008428F9" w:rsidP="008428F9">
            <w:pPr>
              <w:pStyle w:val="ListParagraph"/>
              <w:ind w:left="0"/>
              <w:jc w:val="center"/>
              <w:rPr>
                <w:rFonts w:ascii="Arial" w:hAnsi="Arial" w:cs="Arial"/>
                <w:bCs/>
                <w:sz w:val="24"/>
                <w:szCs w:val="24"/>
              </w:rPr>
            </w:pPr>
          </w:p>
        </w:tc>
        <w:tc>
          <w:tcPr>
            <w:tcW w:w="1298" w:type="dxa"/>
            <w:shd w:val="clear" w:color="auto" w:fill="BFBFBF" w:themeFill="background1" w:themeFillShade="BF"/>
            <w:vAlign w:val="center"/>
          </w:tcPr>
          <w:p w14:paraId="2DC929FF" w14:textId="4B1DE5C2"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Upheld</w:t>
            </w:r>
          </w:p>
        </w:tc>
        <w:tc>
          <w:tcPr>
            <w:tcW w:w="1298" w:type="dxa"/>
            <w:shd w:val="clear" w:color="auto" w:fill="BFBFBF" w:themeFill="background1" w:themeFillShade="BF"/>
            <w:vAlign w:val="center"/>
          </w:tcPr>
          <w:p w14:paraId="195CEC69" w14:textId="16D09E61"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Partially Upheld</w:t>
            </w:r>
          </w:p>
        </w:tc>
        <w:tc>
          <w:tcPr>
            <w:tcW w:w="1299" w:type="dxa"/>
            <w:tcBorders>
              <w:right w:val="single" w:sz="4" w:space="0" w:color="auto"/>
            </w:tcBorders>
            <w:shd w:val="clear" w:color="auto" w:fill="BFBFBF" w:themeFill="background1" w:themeFillShade="BF"/>
            <w:vAlign w:val="center"/>
          </w:tcPr>
          <w:p w14:paraId="7F1BA2BE" w14:textId="317BBC49"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Not Upheld</w:t>
            </w:r>
          </w:p>
        </w:tc>
        <w:tc>
          <w:tcPr>
            <w:tcW w:w="372" w:type="dxa"/>
            <w:tcBorders>
              <w:top w:val="single" w:sz="4" w:space="0" w:color="auto"/>
              <w:left w:val="single" w:sz="4" w:space="0" w:color="auto"/>
              <w:bottom w:val="nil"/>
              <w:right w:val="single" w:sz="4" w:space="0" w:color="auto"/>
            </w:tcBorders>
            <w:shd w:val="clear" w:color="auto" w:fill="auto"/>
            <w:vAlign w:val="center"/>
          </w:tcPr>
          <w:p w14:paraId="16ADB506" w14:textId="77777777" w:rsidR="008428F9" w:rsidRPr="00626C4F" w:rsidRDefault="008428F9" w:rsidP="008428F9">
            <w:pPr>
              <w:pStyle w:val="ListParagraph"/>
              <w:ind w:left="0"/>
              <w:jc w:val="center"/>
              <w:rPr>
                <w:rFonts w:ascii="Arial" w:hAnsi="Arial" w:cs="Arial"/>
                <w:b/>
                <w:sz w:val="24"/>
                <w:szCs w:val="24"/>
              </w:rPr>
            </w:pPr>
          </w:p>
        </w:tc>
        <w:tc>
          <w:tcPr>
            <w:tcW w:w="2224" w:type="dxa"/>
            <w:tcBorders>
              <w:left w:val="single" w:sz="4" w:space="0" w:color="auto"/>
            </w:tcBorders>
            <w:shd w:val="clear" w:color="auto" w:fill="BFBFBF" w:themeFill="background1" w:themeFillShade="BF"/>
            <w:vAlign w:val="center"/>
          </w:tcPr>
          <w:p w14:paraId="627679A4" w14:textId="0ADBD5B5"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Total Resolved</w:t>
            </w:r>
          </w:p>
        </w:tc>
      </w:tr>
      <w:tr w:rsidR="008428F9" w:rsidRPr="00626C4F" w14:paraId="049CB3FE" w14:textId="77777777" w:rsidTr="008428F9">
        <w:trPr>
          <w:trHeight w:val="380"/>
          <w:jc w:val="center"/>
        </w:trPr>
        <w:tc>
          <w:tcPr>
            <w:tcW w:w="1656" w:type="dxa"/>
            <w:vAlign w:val="center"/>
          </w:tcPr>
          <w:p w14:paraId="0D9C68C9" w14:textId="77777777"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Q1</w:t>
            </w:r>
          </w:p>
        </w:tc>
        <w:tc>
          <w:tcPr>
            <w:tcW w:w="1298" w:type="dxa"/>
            <w:vAlign w:val="center"/>
          </w:tcPr>
          <w:p w14:paraId="446C8D28" w14:textId="378644DF" w:rsidR="008428F9" w:rsidRPr="00626C4F" w:rsidRDefault="006E415D" w:rsidP="008428F9">
            <w:pPr>
              <w:pStyle w:val="ListParagraph"/>
              <w:ind w:left="0"/>
              <w:jc w:val="center"/>
              <w:rPr>
                <w:rFonts w:ascii="Arial" w:hAnsi="Arial" w:cs="Arial"/>
                <w:bCs/>
                <w:sz w:val="24"/>
                <w:szCs w:val="24"/>
              </w:rPr>
            </w:pPr>
            <w:r>
              <w:rPr>
                <w:rFonts w:ascii="Arial" w:hAnsi="Arial" w:cs="Arial"/>
                <w:bCs/>
                <w:sz w:val="24"/>
                <w:szCs w:val="24"/>
              </w:rPr>
              <w:t>15</w:t>
            </w:r>
          </w:p>
        </w:tc>
        <w:tc>
          <w:tcPr>
            <w:tcW w:w="1298" w:type="dxa"/>
            <w:vAlign w:val="center"/>
          </w:tcPr>
          <w:p w14:paraId="137022D5" w14:textId="350CF195" w:rsidR="008428F9" w:rsidRPr="00626C4F" w:rsidRDefault="006E415D" w:rsidP="008428F9">
            <w:pPr>
              <w:pStyle w:val="ListParagraph"/>
              <w:ind w:left="0"/>
              <w:jc w:val="center"/>
              <w:rPr>
                <w:rFonts w:ascii="Arial" w:hAnsi="Arial" w:cs="Arial"/>
                <w:bCs/>
                <w:sz w:val="24"/>
                <w:szCs w:val="24"/>
              </w:rPr>
            </w:pPr>
            <w:r>
              <w:rPr>
                <w:rFonts w:ascii="Arial" w:hAnsi="Arial" w:cs="Arial"/>
                <w:bCs/>
                <w:sz w:val="24"/>
                <w:szCs w:val="24"/>
              </w:rPr>
              <w:t>5</w:t>
            </w:r>
          </w:p>
        </w:tc>
        <w:tc>
          <w:tcPr>
            <w:tcW w:w="1299" w:type="dxa"/>
            <w:tcBorders>
              <w:right w:val="single" w:sz="4" w:space="0" w:color="auto"/>
            </w:tcBorders>
            <w:vAlign w:val="center"/>
          </w:tcPr>
          <w:p w14:paraId="45DB1C0A" w14:textId="34B4C2A5" w:rsidR="008428F9" w:rsidRPr="00626C4F" w:rsidRDefault="006E415D" w:rsidP="008428F9">
            <w:pPr>
              <w:pStyle w:val="ListParagraph"/>
              <w:ind w:left="0"/>
              <w:jc w:val="center"/>
              <w:rPr>
                <w:rFonts w:ascii="Arial" w:hAnsi="Arial" w:cs="Arial"/>
                <w:bCs/>
                <w:sz w:val="24"/>
                <w:szCs w:val="24"/>
              </w:rPr>
            </w:pPr>
            <w:r>
              <w:rPr>
                <w:rFonts w:ascii="Arial" w:hAnsi="Arial" w:cs="Arial"/>
                <w:bCs/>
                <w:sz w:val="24"/>
                <w:szCs w:val="24"/>
              </w:rPr>
              <w:t>14</w:t>
            </w:r>
          </w:p>
        </w:tc>
        <w:tc>
          <w:tcPr>
            <w:tcW w:w="372" w:type="dxa"/>
            <w:tcBorders>
              <w:top w:val="nil"/>
              <w:left w:val="single" w:sz="4" w:space="0" w:color="auto"/>
              <w:bottom w:val="nil"/>
              <w:right w:val="single" w:sz="4" w:space="0" w:color="auto"/>
            </w:tcBorders>
            <w:vAlign w:val="center"/>
          </w:tcPr>
          <w:p w14:paraId="0A833FB5" w14:textId="77777777" w:rsidR="008428F9" w:rsidRPr="00626C4F" w:rsidRDefault="008428F9" w:rsidP="008428F9">
            <w:pPr>
              <w:pStyle w:val="ListParagraph"/>
              <w:ind w:left="0"/>
              <w:jc w:val="center"/>
              <w:rPr>
                <w:rFonts w:ascii="Arial" w:hAnsi="Arial" w:cs="Arial"/>
                <w:bCs/>
                <w:sz w:val="24"/>
                <w:szCs w:val="24"/>
              </w:rPr>
            </w:pPr>
          </w:p>
        </w:tc>
        <w:tc>
          <w:tcPr>
            <w:tcW w:w="2224" w:type="dxa"/>
            <w:tcBorders>
              <w:left w:val="single" w:sz="4" w:space="0" w:color="auto"/>
            </w:tcBorders>
            <w:vAlign w:val="center"/>
          </w:tcPr>
          <w:p w14:paraId="3177EC8F" w14:textId="75EFE003" w:rsidR="008428F9" w:rsidRPr="00626C4F" w:rsidRDefault="006E415D" w:rsidP="008428F9">
            <w:pPr>
              <w:pStyle w:val="ListParagraph"/>
              <w:ind w:left="0"/>
              <w:jc w:val="center"/>
              <w:rPr>
                <w:rFonts w:ascii="Arial" w:hAnsi="Arial" w:cs="Arial"/>
                <w:bCs/>
                <w:sz w:val="24"/>
                <w:szCs w:val="24"/>
              </w:rPr>
            </w:pPr>
            <w:r>
              <w:rPr>
                <w:rFonts w:ascii="Arial" w:hAnsi="Arial" w:cs="Arial"/>
                <w:bCs/>
                <w:sz w:val="24"/>
                <w:szCs w:val="24"/>
              </w:rPr>
              <w:t>3</w:t>
            </w:r>
            <w:r w:rsidR="007A46CA">
              <w:rPr>
                <w:rFonts w:ascii="Arial" w:hAnsi="Arial" w:cs="Arial"/>
                <w:bCs/>
                <w:sz w:val="24"/>
                <w:szCs w:val="24"/>
              </w:rPr>
              <w:t>3</w:t>
            </w:r>
          </w:p>
        </w:tc>
      </w:tr>
      <w:tr w:rsidR="008428F9" w:rsidRPr="00626C4F" w14:paraId="3F424E6F" w14:textId="77777777" w:rsidTr="008428F9">
        <w:trPr>
          <w:trHeight w:val="358"/>
          <w:jc w:val="center"/>
        </w:trPr>
        <w:tc>
          <w:tcPr>
            <w:tcW w:w="1656" w:type="dxa"/>
            <w:vAlign w:val="center"/>
          </w:tcPr>
          <w:p w14:paraId="0AB1C9B4" w14:textId="77777777"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Q2</w:t>
            </w:r>
          </w:p>
        </w:tc>
        <w:tc>
          <w:tcPr>
            <w:tcW w:w="1298" w:type="dxa"/>
            <w:vAlign w:val="center"/>
          </w:tcPr>
          <w:p w14:paraId="6193BB3B" w14:textId="727BEA38" w:rsidR="008428F9" w:rsidRPr="00626C4F" w:rsidRDefault="00405497" w:rsidP="008428F9">
            <w:pPr>
              <w:pStyle w:val="ListParagraph"/>
              <w:ind w:left="0"/>
              <w:jc w:val="center"/>
              <w:rPr>
                <w:rFonts w:ascii="Arial" w:hAnsi="Arial" w:cs="Arial"/>
                <w:bCs/>
                <w:sz w:val="24"/>
                <w:szCs w:val="24"/>
              </w:rPr>
            </w:pPr>
            <w:r>
              <w:rPr>
                <w:rFonts w:ascii="Arial" w:hAnsi="Arial" w:cs="Arial"/>
                <w:bCs/>
                <w:sz w:val="24"/>
                <w:szCs w:val="24"/>
              </w:rPr>
              <w:t>16</w:t>
            </w:r>
          </w:p>
        </w:tc>
        <w:tc>
          <w:tcPr>
            <w:tcW w:w="1298" w:type="dxa"/>
            <w:vAlign w:val="center"/>
          </w:tcPr>
          <w:p w14:paraId="7B82B327" w14:textId="4E174F10" w:rsidR="008428F9" w:rsidRPr="00626C4F" w:rsidRDefault="00405497" w:rsidP="008428F9">
            <w:pPr>
              <w:pStyle w:val="ListParagraph"/>
              <w:ind w:left="0"/>
              <w:jc w:val="center"/>
              <w:rPr>
                <w:rFonts w:ascii="Arial" w:hAnsi="Arial" w:cs="Arial"/>
                <w:bCs/>
                <w:sz w:val="24"/>
                <w:szCs w:val="24"/>
              </w:rPr>
            </w:pPr>
            <w:r>
              <w:rPr>
                <w:rFonts w:ascii="Arial" w:hAnsi="Arial" w:cs="Arial"/>
                <w:bCs/>
                <w:sz w:val="24"/>
                <w:szCs w:val="24"/>
              </w:rPr>
              <w:t>6</w:t>
            </w:r>
          </w:p>
        </w:tc>
        <w:tc>
          <w:tcPr>
            <w:tcW w:w="1299" w:type="dxa"/>
            <w:tcBorders>
              <w:right w:val="single" w:sz="4" w:space="0" w:color="auto"/>
            </w:tcBorders>
            <w:vAlign w:val="center"/>
          </w:tcPr>
          <w:p w14:paraId="139080FE" w14:textId="10ACBE90" w:rsidR="008428F9" w:rsidRPr="00626C4F" w:rsidRDefault="00405497" w:rsidP="008428F9">
            <w:pPr>
              <w:pStyle w:val="ListParagraph"/>
              <w:ind w:left="0"/>
              <w:jc w:val="center"/>
              <w:rPr>
                <w:rFonts w:ascii="Arial" w:hAnsi="Arial" w:cs="Arial"/>
                <w:bCs/>
                <w:sz w:val="24"/>
                <w:szCs w:val="24"/>
              </w:rPr>
            </w:pPr>
            <w:r>
              <w:rPr>
                <w:rFonts w:ascii="Arial" w:hAnsi="Arial" w:cs="Arial"/>
                <w:bCs/>
                <w:sz w:val="24"/>
                <w:szCs w:val="24"/>
              </w:rPr>
              <w:t>20</w:t>
            </w:r>
          </w:p>
        </w:tc>
        <w:tc>
          <w:tcPr>
            <w:tcW w:w="372" w:type="dxa"/>
            <w:tcBorders>
              <w:top w:val="nil"/>
              <w:left w:val="single" w:sz="4" w:space="0" w:color="auto"/>
              <w:bottom w:val="nil"/>
              <w:right w:val="single" w:sz="4" w:space="0" w:color="auto"/>
            </w:tcBorders>
            <w:vAlign w:val="center"/>
          </w:tcPr>
          <w:p w14:paraId="0C03E95D" w14:textId="77777777" w:rsidR="008428F9" w:rsidRPr="00626C4F" w:rsidRDefault="008428F9" w:rsidP="008428F9">
            <w:pPr>
              <w:pStyle w:val="ListParagraph"/>
              <w:ind w:left="0"/>
              <w:jc w:val="center"/>
              <w:rPr>
                <w:rFonts w:ascii="Arial" w:hAnsi="Arial" w:cs="Arial"/>
                <w:bCs/>
                <w:sz w:val="24"/>
                <w:szCs w:val="24"/>
              </w:rPr>
            </w:pPr>
          </w:p>
        </w:tc>
        <w:tc>
          <w:tcPr>
            <w:tcW w:w="2224" w:type="dxa"/>
            <w:tcBorders>
              <w:left w:val="single" w:sz="4" w:space="0" w:color="auto"/>
            </w:tcBorders>
            <w:vAlign w:val="center"/>
          </w:tcPr>
          <w:p w14:paraId="7CFE228F" w14:textId="15643EEC" w:rsidR="008428F9" w:rsidRPr="00626C4F" w:rsidRDefault="007A46CA" w:rsidP="008428F9">
            <w:pPr>
              <w:pStyle w:val="ListParagraph"/>
              <w:ind w:left="0"/>
              <w:jc w:val="center"/>
              <w:rPr>
                <w:rFonts w:ascii="Arial" w:hAnsi="Arial" w:cs="Arial"/>
                <w:bCs/>
                <w:sz w:val="24"/>
                <w:szCs w:val="24"/>
              </w:rPr>
            </w:pPr>
            <w:r>
              <w:rPr>
                <w:rFonts w:ascii="Arial" w:hAnsi="Arial" w:cs="Arial"/>
                <w:bCs/>
                <w:sz w:val="24"/>
                <w:szCs w:val="24"/>
              </w:rPr>
              <w:t>39</w:t>
            </w:r>
          </w:p>
        </w:tc>
      </w:tr>
      <w:tr w:rsidR="008428F9" w:rsidRPr="00626C4F" w14:paraId="069E157A" w14:textId="77777777" w:rsidTr="008428F9">
        <w:trPr>
          <w:trHeight w:val="380"/>
          <w:jc w:val="center"/>
        </w:trPr>
        <w:tc>
          <w:tcPr>
            <w:tcW w:w="1656" w:type="dxa"/>
            <w:vAlign w:val="center"/>
          </w:tcPr>
          <w:p w14:paraId="6DC7BFCE" w14:textId="77777777"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Q3</w:t>
            </w:r>
          </w:p>
        </w:tc>
        <w:tc>
          <w:tcPr>
            <w:tcW w:w="1298" w:type="dxa"/>
            <w:vAlign w:val="center"/>
          </w:tcPr>
          <w:p w14:paraId="2316269E" w14:textId="2DBFCC7B" w:rsidR="008428F9" w:rsidRPr="00626C4F" w:rsidRDefault="00F57C27" w:rsidP="008428F9">
            <w:pPr>
              <w:pStyle w:val="ListParagraph"/>
              <w:ind w:left="0"/>
              <w:jc w:val="center"/>
              <w:rPr>
                <w:rFonts w:ascii="Arial" w:hAnsi="Arial" w:cs="Arial"/>
                <w:bCs/>
                <w:sz w:val="24"/>
                <w:szCs w:val="24"/>
              </w:rPr>
            </w:pPr>
            <w:r>
              <w:rPr>
                <w:rFonts w:ascii="Arial" w:hAnsi="Arial" w:cs="Arial"/>
                <w:bCs/>
                <w:sz w:val="24"/>
                <w:szCs w:val="24"/>
              </w:rPr>
              <w:t>9</w:t>
            </w:r>
          </w:p>
        </w:tc>
        <w:tc>
          <w:tcPr>
            <w:tcW w:w="1298" w:type="dxa"/>
            <w:vAlign w:val="center"/>
          </w:tcPr>
          <w:p w14:paraId="23D43AB7" w14:textId="32144774" w:rsidR="008428F9" w:rsidRPr="00626C4F" w:rsidRDefault="00F57C27" w:rsidP="008428F9">
            <w:pPr>
              <w:pStyle w:val="ListParagraph"/>
              <w:ind w:left="0"/>
              <w:jc w:val="center"/>
              <w:rPr>
                <w:rFonts w:ascii="Arial" w:hAnsi="Arial" w:cs="Arial"/>
                <w:bCs/>
                <w:sz w:val="24"/>
                <w:szCs w:val="24"/>
              </w:rPr>
            </w:pPr>
            <w:r>
              <w:rPr>
                <w:rFonts w:ascii="Arial" w:hAnsi="Arial" w:cs="Arial"/>
                <w:bCs/>
                <w:sz w:val="24"/>
                <w:szCs w:val="24"/>
              </w:rPr>
              <w:t>4</w:t>
            </w:r>
          </w:p>
        </w:tc>
        <w:tc>
          <w:tcPr>
            <w:tcW w:w="1299" w:type="dxa"/>
            <w:tcBorders>
              <w:right w:val="single" w:sz="4" w:space="0" w:color="auto"/>
            </w:tcBorders>
            <w:vAlign w:val="center"/>
          </w:tcPr>
          <w:p w14:paraId="1415FC2C" w14:textId="314FEA82" w:rsidR="008428F9" w:rsidRPr="00626C4F" w:rsidRDefault="00F57C27" w:rsidP="008428F9">
            <w:pPr>
              <w:pStyle w:val="ListParagraph"/>
              <w:ind w:left="0"/>
              <w:jc w:val="center"/>
              <w:rPr>
                <w:rFonts w:ascii="Arial" w:hAnsi="Arial" w:cs="Arial"/>
                <w:bCs/>
                <w:sz w:val="24"/>
                <w:szCs w:val="24"/>
              </w:rPr>
            </w:pPr>
            <w:r>
              <w:rPr>
                <w:rFonts w:ascii="Arial" w:hAnsi="Arial" w:cs="Arial"/>
                <w:bCs/>
                <w:sz w:val="24"/>
                <w:szCs w:val="24"/>
              </w:rPr>
              <w:t>26</w:t>
            </w:r>
          </w:p>
        </w:tc>
        <w:tc>
          <w:tcPr>
            <w:tcW w:w="372" w:type="dxa"/>
            <w:tcBorders>
              <w:top w:val="nil"/>
              <w:left w:val="single" w:sz="4" w:space="0" w:color="auto"/>
              <w:bottom w:val="nil"/>
              <w:right w:val="single" w:sz="4" w:space="0" w:color="auto"/>
            </w:tcBorders>
            <w:vAlign w:val="center"/>
          </w:tcPr>
          <w:p w14:paraId="12AAF164" w14:textId="77777777" w:rsidR="008428F9" w:rsidRPr="00626C4F" w:rsidRDefault="008428F9" w:rsidP="008428F9">
            <w:pPr>
              <w:pStyle w:val="ListParagraph"/>
              <w:ind w:left="0"/>
              <w:jc w:val="center"/>
              <w:rPr>
                <w:rFonts w:ascii="Arial" w:hAnsi="Arial" w:cs="Arial"/>
                <w:bCs/>
                <w:sz w:val="24"/>
                <w:szCs w:val="24"/>
              </w:rPr>
            </w:pPr>
          </w:p>
        </w:tc>
        <w:tc>
          <w:tcPr>
            <w:tcW w:w="2224" w:type="dxa"/>
            <w:tcBorders>
              <w:left w:val="single" w:sz="4" w:space="0" w:color="auto"/>
            </w:tcBorders>
            <w:vAlign w:val="center"/>
          </w:tcPr>
          <w:p w14:paraId="3140EC4C" w14:textId="014A34DD" w:rsidR="008428F9" w:rsidRPr="00626C4F" w:rsidRDefault="007A46CA" w:rsidP="008428F9">
            <w:pPr>
              <w:pStyle w:val="ListParagraph"/>
              <w:ind w:left="0"/>
              <w:jc w:val="center"/>
              <w:rPr>
                <w:rFonts w:ascii="Arial" w:hAnsi="Arial" w:cs="Arial"/>
                <w:bCs/>
                <w:sz w:val="24"/>
                <w:szCs w:val="24"/>
              </w:rPr>
            </w:pPr>
            <w:r>
              <w:rPr>
                <w:rFonts w:ascii="Arial" w:hAnsi="Arial" w:cs="Arial"/>
                <w:bCs/>
                <w:sz w:val="24"/>
                <w:szCs w:val="24"/>
              </w:rPr>
              <w:t>35</w:t>
            </w:r>
          </w:p>
        </w:tc>
      </w:tr>
      <w:tr w:rsidR="008428F9" w:rsidRPr="00626C4F" w14:paraId="56C24985" w14:textId="77777777" w:rsidTr="008428F9">
        <w:trPr>
          <w:trHeight w:val="358"/>
          <w:jc w:val="center"/>
        </w:trPr>
        <w:tc>
          <w:tcPr>
            <w:tcW w:w="1656" w:type="dxa"/>
            <w:vAlign w:val="center"/>
          </w:tcPr>
          <w:p w14:paraId="79AAA602" w14:textId="77777777"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Q4</w:t>
            </w:r>
          </w:p>
        </w:tc>
        <w:tc>
          <w:tcPr>
            <w:tcW w:w="1298" w:type="dxa"/>
            <w:vAlign w:val="center"/>
          </w:tcPr>
          <w:p w14:paraId="22AF9FE0" w14:textId="5BA503E4" w:rsidR="008428F9" w:rsidRPr="00626C4F" w:rsidRDefault="008428F9" w:rsidP="008428F9">
            <w:pPr>
              <w:pStyle w:val="ListParagraph"/>
              <w:ind w:left="0"/>
              <w:jc w:val="center"/>
              <w:rPr>
                <w:rFonts w:ascii="Arial" w:hAnsi="Arial" w:cs="Arial"/>
                <w:bCs/>
                <w:sz w:val="24"/>
                <w:szCs w:val="24"/>
              </w:rPr>
            </w:pPr>
          </w:p>
        </w:tc>
        <w:tc>
          <w:tcPr>
            <w:tcW w:w="1298" w:type="dxa"/>
            <w:vAlign w:val="center"/>
          </w:tcPr>
          <w:p w14:paraId="469525AC" w14:textId="219491AB" w:rsidR="008428F9" w:rsidRPr="00626C4F" w:rsidRDefault="008428F9" w:rsidP="008428F9">
            <w:pPr>
              <w:pStyle w:val="ListParagraph"/>
              <w:ind w:left="0"/>
              <w:jc w:val="center"/>
              <w:rPr>
                <w:rFonts w:ascii="Arial" w:hAnsi="Arial" w:cs="Arial"/>
                <w:bCs/>
                <w:sz w:val="24"/>
                <w:szCs w:val="24"/>
              </w:rPr>
            </w:pPr>
          </w:p>
        </w:tc>
        <w:tc>
          <w:tcPr>
            <w:tcW w:w="1299" w:type="dxa"/>
            <w:tcBorders>
              <w:right w:val="single" w:sz="4" w:space="0" w:color="auto"/>
            </w:tcBorders>
            <w:vAlign w:val="center"/>
          </w:tcPr>
          <w:p w14:paraId="555A7B77" w14:textId="671812C2" w:rsidR="008428F9" w:rsidRPr="00626C4F" w:rsidRDefault="008428F9" w:rsidP="008428F9">
            <w:pPr>
              <w:pStyle w:val="ListParagraph"/>
              <w:ind w:left="0"/>
              <w:jc w:val="center"/>
              <w:rPr>
                <w:rFonts w:ascii="Arial" w:hAnsi="Arial" w:cs="Arial"/>
                <w:bCs/>
                <w:sz w:val="24"/>
                <w:szCs w:val="24"/>
              </w:rPr>
            </w:pPr>
          </w:p>
        </w:tc>
        <w:tc>
          <w:tcPr>
            <w:tcW w:w="372" w:type="dxa"/>
            <w:tcBorders>
              <w:top w:val="nil"/>
              <w:left w:val="single" w:sz="4" w:space="0" w:color="auto"/>
              <w:bottom w:val="nil"/>
              <w:right w:val="single" w:sz="4" w:space="0" w:color="auto"/>
            </w:tcBorders>
            <w:vAlign w:val="center"/>
          </w:tcPr>
          <w:p w14:paraId="3E551A1C" w14:textId="77777777" w:rsidR="008428F9" w:rsidRPr="00626C4F" w:rsidRDefault="008428F9" w:rsidP="008428F9">
            <w:pPr>
              <w:pStyle w:val="ListParagraph"/>
              <w:ind w:left="0"/>
              <w:jc w:val="center"/>
              <w:rPr>
                <w:rFonts w:ascii="Arial" w:hAnsi="Arial" w:cs="Arial"/>
                <w:bCs/>
                <w:sz w:val="24"/>
                <w:szCs w:val="24"/>
              </w:rPr>
            </w:pPr>
          </w:p>
        </w:tc>
        <w:tc>
          <w:tcPr>
            <w:tcW w:w="2224" w:type="dxa"/>
            <w:tcBorders>
              <w:left w:val="single" w:sz="4" w:space="0" w:color="auto"/>
            </w:tcBorders>
            <w:vAlign w:val="center"/>
          </w:tcPr>
          <w:p w14:paraId="3AAB1CE4" w14:textId="047441E7" w:rsidR="008428F9" w:rsidRPr="00626C4F" w:rsidRDefault="008428F9" w:rsidP="008428F9">
            <w:pPr>
              <w:pStyle w:val="ListParagraph"/>
              <w:ind w:left="0"/>
              <w:jc w:val="center"/>
              <w:rPr>
                <w:rFonts w:ascii="Arial" w:hAnsi="Arial" w:cs="Arial"/>
                <w:bCs/>
                <w:sz w:val="24"/>
                <w:szCs w:val="24"/>
              </w:rPr>
            </w:pPr>
          </w:p>
        </w:tc>
      </w:tr>
      <w:tr w:rsidR="008428F9" w:rsidRPr="00626C4F" w14:paraId="193B5994" w14:textId="77777777" w:rsidTr="008428F9">
        <w:trPr>
          <w:trHeight w:val="358"/>
          <w:jc w:val="center"/>
        </w:trPr>
        <w:tc>
          <w:tcPr>
            <w:tcW w:w="1656" w:type="dxa"/>
            <w:vAlign w:val="center"/>
          </w:tcPr>
          <w:p w14:paraId="768B638E" w14:textId="72131850"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202</w:t>
            </w:r>
            <w:r w:rsidR="006E415D">
              <w:rPr>
                <w:rFonts w:ascii="Arial" w:hAnsi="Arial" w:cs="Arial"/>
                <w:b/>
                <w:sz w:val="24"/>
                <w:szCs w:val="24"/>
              </w:rPr>
              <w:t>4-25</w:t>
            </w:r>
          </w:p>
        </w:tc>
        <w:tc>
          <w:tcPr>
            <w:tcW w:w="1298" w:type="dxa"/>
            <w:vAlign w:val="center"/>
          </w:tcPr>
          <w:p w14:paraId="5C774289" w14:textId="5226055C" w:rsidR="008428F9" w:rsidRPr="00626C4F" w:rsidRDefault="00F57C27" w:rsidP="008428F9">
            <w:pPr>
              <w:pStyle w:val="ListParagraph"/>
              <w:ind w:left="0"/>
              <w:jc w:val="center"/>
              <w:rPr>
                <w:rFonts w:ascii="Arial" w:hAnsi="Arial" w:cs="Arial"/>
                <w:b/>
                <w:sz w:val="24"/>
                <w:szCs w:val="24"/>
              </w:rPr>
            </w:pPr>
            <w:r>
              <w:rPr>
                <w:rFonts w:ascii="Arial" w:hAnsi="Arial" w:cs="Arial"/>
                <w:b/>
                <w:sz w:val="24"/>
                <w:szCs w:val="24"/>
              </w:rPr>
              <w:t>40</w:t>
            </w:r>
          </w:p>
        </w:tc>
        <w:tc>
          <w:tcPr>
            <w:tcW w:w="1298" w:type="dxa"/>
            <w:vAlign w:val="center"/>
          </w:tcPr>
          <w:p w14:paraId="664056A9" w14:textId="02F6ADB2" w:rsidR="008428F9" w:rsidRPr="00626C4F" w:rsidRDefault="00F57C27" w:rsidP="008428F9">
            <w:pPr>
              <w:pStyle w:val="ListParagraph"/>
              <w:ind w:left="0"/>
              <w:jc w:val="center"/>
              <w:rPr>
                <w:rFonts w:ascii="Arial" w:hAnsi="Arial" w:cs="Arial"/>
                <w:b/>
                <w:sz w:val="24"/>
                <w:szCs w:val="24"/>
              </w:rPr>
            </w:pPr>
            <w:r>
              <w:rPr>
                <w:rFonts w:ascii="Arial" w:hAnsi="Arial" w:cs="Arial"/>
                <w:b/>
                <w:sz w:val="24"/>
                <w:szCs w:val="24"/>
              </w:rPr>
              <w:t>15</w:t>
            </w:r>
          </w:p>
        </w:tc>
        <w:tc>
          <w:tcPr>
            <w:tcW w:w="1299" w:type="dxa"/>
            <w:tcBorders>
              <w:right w:val="single" w:sz="4" w:space="0" w:color="auto"/>
            </w:tcBorders>
            <w:vAlign w:val="center"/>
          </w:tcPr>
          <w:p w14:paraId="1B085332" w14:textId="56E1366A" w:rsidR="008428F9" w:rsidRPr="00626C4F" w:rsidRDefault="00F57C27" w:rsidP="008428F9">
            <w:pPr>
              <w:pStyle w:val="ListParagraph"/>
              <w:ind w:left="0"/>
              <w:jc w:val="center"/>
              <w:rPr>
                <w:rFonts w:ascii="Arial" w:hAnsi="Arial" w:cs="Arial"/>
                <w:b/>
                <w:sz w:val="24"/>
                <w:szCs w:val="24"/>
              </w:rPr>
            </w:pPr>
            <w:r>
              <w:rPr>
                <w:rFonts w:ascii="Arial" w:hAnsi="Arial" w:cs="Arial"/>
                <w:b/>
                <w:sz w:val="24"/>
                <w:szCs w:val="24"/>
              </w:rPr>
              <w:t>60</w:t>
            </w:r>
          </w:p>
        </w:tc>
        <w:tc>
          <w:tcPr>
            <w:tcW w:w="372" w:type="dxa"/>
            <w:tcBorders>
              <w:top w:val="nil"/>
              <w:left w:val="single" w:sz="4" w:space="0" w:color="auto"/>
              <w:bottom w:val="single" w:sz="4" w:space="0" w:color="auto"/>
              <w:right w:val="single" w:sz="4" w:space="0" w:color="auto"/>
            </w:tcBorders>
            <w:vAlign w:val="center"/>
          </w:tcPr>
          <w:p w14:paraId="1FABB190" w14:textId="77777777" w:rsidR="008428F9" w:rsidRPr="00626C4F" w:rsidRDefault="008428F9" w:rsidP="008428F9">
            <w:pPr>
              <w:pStyle w:val="ListParagraph"/>
              <w:ind w:left="0"/>
              <w:jc w:val="center"/>
              <w:rPr>
                <w:rFonts w:ascii="Arial" w:hAnsi="Arial" w:cs="Arial"/>
                <w:b/>
                <w:sz w:val="24"/>
                <w:szCs w:val="24"/>
              </w:rPr>
            </w:pPr>
          </w:p>
        </w:tc>
        <w:tc>
          <w:tcPr>
            <w:tcW w:w="2224" w:type="dxa"/>
            <w:tcBorders>
              <w:left w:val="single" w:sz="4" w:space="0" w:color="auto"/>
            </w:tcBorders>
            <w:vAlign w:val="center"/>
          </w:tcPr>
          <w:p w14:paraId="3A376B91" w14:textId="1C85946E" w:rsidR="008428F9" w:rsidRPr="00626C4F" w:rsidRDefault="007A46CA" w:rsidP="008428F9">
            <w:pPr>
              <w:pStyle w:val="ListParagraph"/>
              <w:ind w:left="0"/>
              <w:jc w:val="center"/>
              <w:rPr>
                <w:rFonts w:ascii="Arial" w:hAnsi="Arial" w:cs="Arial"/>
                <w:b/>
                <w:sz w:val="24"/>
                <w:szCs w:val="24"/>
              </w:rPr>
            </w:pPr>
            <w:r>
              <w:rPr>
                <w:rFonts w:ascii="Arial" w:hAnsi="Arial" w:cs="Arial"/>
                <w:b/>
                <w:sz w:val="24"/>
                <w:szCs w:val="24"/>
              </w:rPr>
              <w:t>107</w:t>
            </w:r>
          </w:p>
        </w:tc>
      </w:tr>
    </w:tbl>
    <w:p w14:paraId="5ED5A15A" w14:textId="77777777" w:rsidR="005F393B" w:rsidRPr="004C3FD3" w:rsidRDefault="005F393B" w:rsidP="00200F58">
      <w:pPr>
        <w:pStyle w:val="ListParagraph"/>
        <w:ind w:left="567"/>
        <w:rPr>
          <w:rFonts w:ascii="Arial" w:hAnsi="Arial" w:cs="Arial"/>
          <w:bCs/>
          <w:szCs w:val="24"/>
        </w:rPr>
      </w:pPr>
    </w:p>
    <w:p w14:paraId="3F2728CB" w14:textId="60CB86D4" w:rsidR="007812F2" w:rsidRPr="004C3FD3" w:rsidRDefault="00200F58" w:rsidP="00200F58">
      <w:pPr>
        <w:ind w:left="567"/>
        <w:rPr>
          <w:rFonts w:ascii="Arial" w:hAnsi="Arial" w:cs="Arial"/>
          <w:bCs/>
          <w:szCs w:val="24"/>
        </w:rPr>
      </w:pPr>
      <w:r w:rsidRPr="004C3FD3">
        <w:rPr>
          <w:rFonts w:ascii="Arial" w:hAnsi="Arial" w:cs="Arial"/>
          <w:bCs/>
          <w:szCs w:val="24"/>
        </w:rPr>
        <w:t xml:space="preserve">Overall, </w:t>
      </w:r>
      <w:r w:rsidR="007A46CA">
        <w:rPr>
          <w:rFonts w:ascii="Arial" w:hAnsi="Arial" w:cs="Arial"/>
          <w:bCs/>
          <w:szCs w:val="24"/>
        </w:rPr>
        <w:t>47.8</w:t>
      </w:r>
      <w:r w:rsidR="000D0E60" w:rsidRPr="004C3FD3">
        <w:rPr>
          <w:rFonts w:ascii="Arial" w:hAnsi="Arial" w:cs="Arial"/>
          <w:bCs/>
          <w:szCs w:val="24"/>
        </w:rPr>
        <w:t>%</w:t>
      </w:r>
      <w:r w:rsidR="005F393B" w:rsidRPr="004C3FD3">
        <w:rPr>
          <w:rFonts w:ascii="Arial" w:hAnsi="Arial" w:cs="Arial"/>
          <w:bCs/>
          <w:szCs w:val="24"/>
        </w:rPr>
        <w:t xml:space="preserve"> of all c</w:t>
      </w:r>
      <w:r w:rsidRPr="004C3FD3">
        <w:rPr>
          <w:rFonts w:ascii="Arial" w:hAnsi="Arial" w:cs="Arial"/>
          <w:bCs/>
          <w:szCs w:val="24"/>
        </w:rPr>
        <w:t>omplaints</w:t>
      </w:r>
      <w:r w:rsidR="000D0E60" w:rsidRPr="004C3FD3">
        <w:rPr>
          <w:rFonts w:ascii="Arial" w:hAnsi="Arial" w:cs="Arial"/>
          <w:bCs/>
          <w:szCs w:val="24"/>
        </w:rPr>
        <w:t xml:space="preserve"> </w:t>
      </w:r>
      <w:r w:rsidRPr="004C3FD3">
        <w:rPr>
          <w:rFonts w:ascii="Arial" w:hAnsi="Arial" w:cs="Arial"/>
          <w:bCs/>
          <w:szCs w:val="24"/>
        </w:rPr>
        <w:t>are upheld</w:t>
      </w:r>
      <w:r w:rsidR="005F393B" w:rsidRPr="004C3FD3">
        <w:rPr>
          <w:rFonts w:ascii="Arial" w:hAnsi="Arial" w:cs="Arial"/>
          <w:bCs/>
          <w:szCs w:val="24"/>
        </w:rPr>
        <w:t xml:space="preserve"> or partially upheld </w:t>
      </w:r>
      <w:r w:rsidR="007812F2" w:rsidRPr="004C3FD3">
        <w:rPr>
          <w:rFonts w:ascii="Arial" w:hAnsi="Arial" w:cs="Arial"/>
          <w:bCs/>
          <w:szCs w:val="24"/>
        </w:rPr>
        <w:t>with the most common form of resolution being a verbal apology</w:t>
      </w:r>
      <w:r w:rsidR="006E415D">
        <w:rPr>
          <w:rFonts w:ascii="Arial" w:hAnsi="Arial" w:cs="Arial"/>
          <w:bCs/>
          <w:szCs w:val="24"/>
        </w:rPr>
        <w:t xml:space="preserve"> (</w:t>
      </w:r>
      <w:r w:rsidR="007A46CA">
        <w:rPr>
          <w:rFonts w:ascii="Arial" w:hAnsi="Arial" w:cs="Arial"/>
          <w:bCs/>
          <w:szCs w:val="24"/>
        </w:rPr>
        <w:t>67</w:t>
      </w:r>
      <w:r w:rsidR="006E415D">
        <w:rPr>
          <w:rFonts w:ascii="Arial" w:hAnsi="Arial" w:cs="Arial"/>
          <w:bCs/>
          <w:szCs w:val="24"/>
        </w:rPr>
        <w:t>%).</w:t>
      </w:r>
    </w:p>
    <w:p w14:paraId="3311FF9B" w14:textId="5487B174" w:rsidR="005F393B" w:rsidRPr="004C3FD3" w:rsidRDefault="005F393B" w:rsidP="00200F58">
      <w:pPr>
        <w:ind w:left="567"/>
        <w:rPr>
          <w:rFonts w:ascii="Arial" w:hAnsi="Arial" w:cs="Arial"/>
          <w:bCs/>
          <w:szCs w:val="24"/>
        </w:rPr>
      </w:pPr>
    </w:p>
    <w:p w14:paraId="6063FB23" w14:textId="6D0EBEF2" w:rsidR="004C3FD3" w:rsidRPr="004C3FD3" w:rsidRDefault="005F393B" w:rsidP="000357A2">
      <w:pPr>
        <w:ind w:left="567"/>
        <w:rPr>
          <w:rFonts w:ascii="Arial" w:hAnsi="Arial" w:cs="Arial"/>
          <w:bCs/>
          <w:szCs w:val="24"/>
        </w:rPr>
      </w:pPr>
      <w:r w:rsidRPr="004C3FD3">
        <w:rPr>
          <w:rFonts w:ascii="Arial" w:hAnsi="Arial" w:cs="Arial"/>
          <w:bCs/>
          <w:szCs w:val="24"/>
        </w:rPr>
        <w:t xml:space="preserve">We failed to resolve </w:t>
      </w:r>
      <w:r w:rsidR="007A46CA">
        <w:rPr>
          <w:rFonts w:ascii="Arial" w:hAnsi="Arial" w:cs="Arial"/>
          <w:bCs/>
          <w:szCs w:val="24"/>
        </w:rPr>
        <w:t>four</w:t>
      </w:r>
      <w:r w:rsidRPr="004C3FD3">
        <w:rPr>
          <w:rFonts w:ascii="Arial" w:hAnsi="Arial" w:cs="Arial"/>
          <w:bCs/>
          <w:szCs w:val="24"/>
        </w:rPr>
        <w:t xml:space="preserve"> complaint</w:t>
      </w:r>
      <w:r w:rsidR="003A0772">
        <w:rPr>
          <w:rFonts w:ascii="Arial" w:hAnsi="Arial" w:cs="Arial"/>
          <w:bCs/>
          <w:szCs w:val="24"/>
        </w:rPr>
        <w:t>s</w:t>
      </w:r>
      <w:r w:rsidRPr="004C3FD3">
        <w:rPr>
          <w:rFonts w:ascii="Arial" w:hAnsi="Arial" w:cs="Arial"/>
          <w:bCs/>
          <w:szCs w:val="24"/>
        </w:rPr>
        <w:t xml:space="preserve"> during Q</w:t>
      </w:r>
      <w:r w:rsidR="007A46CA">
        <w:rPr>
          <w:rFonts w:ascii="Arial" w:hAnsi="Arial" w:cs="Arial"/>
          <w:bCs/>
          <w:szCs w:val="24"/>
        </w:rPr>
        <w:t>3</w:t>
      </w:r>
      <w:r w:rsidR="003A0772">
        <w:rPr>
          <w:rFonts w:ascii="Arial" w:hAnsi="Arial" w:cs="Arial"/>
          <w:bCs/>
          <w:szCs w:val="24"/>
        </w:rPr>
        <w:t xml:space="preserve">. Of these, </w:t>
      </w:r>
      <w:r w:rsidR="007A46CA">
        <w:rPr>
          <w:rFonts w:ascii="Arial" w:hAnsi="Arial" w:cs="Arial"/>
          <w:bCs/>
          <w:szCs w:val="24"/>
        </w:rPr>
        <w:t>three were</w:t>
      </w:r>
      <w:r w:rsidR="003A0772">
        <w:rPr>
          <w:rFonts w:ascii="Arial" w:hAnsi="Arial" w:cs="Arial"/>
          <w:bCs/>
          <w:szCs w:val="24"/>
        </w:rPr>
        <w:t xml:space="preserve"> escalated to Stage 2 where </w:t>
      </w:r>
      <w:r w:rsidR="007A46CA">
        <w:rPr>
          <w:rFonts w:ascii="Arial" w:hAnsi="Arial" w:cs="Arial"/>
          <w:bCs/>
          <w:szCs w:val="24"/>
        </w:rPr>
        <w:t xml:space="preserve">they were </w:t>
      </w:r>
      <w:r w:rsidR="003A0772">
        <w:rPr>
          <w:rFonts w:ascii="Arial" w:hAnsi="Arial" w:cs="Arial"/>
          <w:bCs/>
          <w:szCs w:val="24"/>
        </w:rPr>
        <w:t xml:space="preserve">resolved and the remaining </w:t>
      </w:r>
      <w:r w:rsidR="007A46CA">
        <w:rPr>
          <w:rFonts w:ascii="Arial" w:hAnsi="Arial" w:cs="Arial"/>
          <w:bCs/>
          <w:szCs w:val="24"/>
        </w:rPr>
        <w:t>complaint</w:t>
      </w:r>
      <w:r w:rsidR="003A0772">
        <w:rPr>
          <w:rFonts w:ascii="Arial" w:hAnsi="Arial" w:cs="Arial"/>
          <w:bCs/>
          <w:szCs w:val="24"/>
        </w:rPr>
        <w:t xml:space="preserve"> did not go further than Stage 1.</w:t>
      </w:r>
    </w:p>
    <w:p w14:paraId="3A578100" w14:textId="76EEFA15" w:rsidR="00337198" w:rsidRPr="00F756E6" w:rsidRDefault="00337198" w:rsidP="00F756E6">
      <w:pPr>
        <w:rPr>
          <w:rFonts w:ascii="Arial" w:hAnsi="Arial" w:cs="Arial"/>
          <w:bCs/>
          <w:szCs w:val="24"/>
        </w:rPr>
      </w:pPr>
    </w:p>
    <w:p w14:paraId="74AF884D" w14:textId="47D9779B" w:rsidR="005F393B" w:rsidRPr="004C3FD3" w:rsidRDefault="00643F33" w:rsidP="00337198">
      <w:pPr>
        <w:ind w:left="567"/>
        <w:rPr>
          <w:rFonts w:ascii="Arial" w:hAnsi="Arial" w:cs="Arial"/>
          <w:bCs/>
          <w:szCs w:val="24"/>
        </w:rPr>
      </w:pPr>
      <w:r w:rsidRPr="004C3FD3">
        <w:rPr>
          <w:rFonts w:ascii="Arial" w:hAnsi="Arial" w:cs="Arial"/>
          <w:bCs/>
          <w:szCs w:val="24"/>
        </w:rPr>
        <w:t>Th</w:t>
      </w:r>
      <w:r w:rsidR="00337198" w:rsidRPr="004C3FD3">
        <w:rPr>
          <w:rFonts w:ascii="Arial" w:hAnsi="Arial" w:cs="Arial"/>
          <w:bCs/>
          <w:szCs w:val="24"/>
        </w:rPr>
        <w:t>ese figures do not automatically i</w:t>
      </w:r>
      <w:r w:rsidRPr="004C3FD3">
        <w:rPr>
          <w:rFonts w:ascii="Arial" w:hAnsi="Arial" w:cs="Arial"/>
          <w:bCs/>
          <w:szCs w:val="24"/>
        </w:rPr>
        <w:t>ndicat</w:t>
      </w:r>
      <w:r w:rsidR="00337198" w:rsidRPr="004C3FD3">
        <w:rPr>
          <w:rFonts w:ascii="Arial" w:hAnsi="Arial" w:cs="Arial"/>
          <w:bCs/>
          <w:szCs w:val="24"/>
        </w:rPr>
        <w:t>e</w:t>
      </w:r>
      <w:r w:rsidRPr="004C3FD3">
        <w:rPr>
          <w:rFonts w:ascii="Arial" w:hAnsi="Arial" w:cs="Arial"/>
          <w:bCs/>
          <w:szCs w:val="24"/>
        </w:rPr>
        <w:t xml:space="preserve"> the Association failing to resolve complaints adequately.</w:t>
      </w:r>
      <w:r w:rsidR="00AE6ECF" w:rsidRPr="004C3FD3">
        <w:rPr>
          <w:rFonts w:ascii="Arial" w:hAnsi="Arial" w:cs="Arial"/>
          <w:bCs/>
          <w:szCs w:val="24"/>
        </w:rPr>
        <w:t xml:space="preserve"> It can often be </w:t>
      </w:r>
      <w:r w:rsidR="00944A0B" w:rsidRPr="004C3FD3">
        <w:rPr>
          <w:rFonts w:ascii="Arial" w:hAnsi="Arial" w:cs="Arial"/>
          <w:bCs/>
          <w:szCs w:val="24"/>
        </w:rPr>
        <w:t>the</w:t>
      </w:r>
      <w:r w:rsidR="00AE6ECF" w:rsidRPr="004C3FD3">
        <w:rPr>
          <w:rFonts w:ascii="Arial" w:hAnsi="Arial" w:cs="Arial"/>
          <w:bCs/>
          <w:szCs w:val="24"/>
        </w:rPr>
        <w:t xml:space="preserve"> case that a tenant does not agree with our response (</w:t>
      </w:r>
      <w:r w:rsidR="000575E6" w:rsidRPr="004C3FD3">
        <w:rPr>
          <w:rFonts w:ascii="Arial" w:hAnsi="Arial" w:cs="Arial"/>
          <w:bCs/>
          <w:szCs w:val="24"/>
        </w:rPr>
        <w:t>e.g.,</w:t>
      </w:r>
      <w:r w:rsidR="00AE6ECF" w:rsidRPr="004C3FD3">
        <w:rPr>
          <w:rFonts w:ascii="Arial" w:hAnsi="Arial" w:cs="Arial"/>
          <w:bCs/>
          <w:szCs w:val="24"/>
        </w:rPr>
        <w:t xml:space="preserve"> policy</w:t>
      </w:r>
      <w:r w:rsidR="000575E6" w:rsidRPr="004C3FD3">
        <w:rPr>
          <w:rFonts w:ascii="Arial" w:hAnsi="Arial" w:cs="Arial"/>
          <w:bCs/>
          <w:szCs w:val="24"/>
        </w:rPr>
        <w:t xml:space="preserve"> decision</w:t>
      </w:r>
      <w:r w:rsidR="00AE6ECF" w:rsidRPr="004C3FD3">
        <w:rPr>
          <w:rFonts w:ascii="Arial" w:hAnsi="Arial" w:cs="Arial"/>
          <w:bCs/>
          <w:szCs w:val="24"/>
        </w:rPr>
        <w:t>) and we cannot resolve a complaint unless a tenant agrees.</w:t>
      </w:r>
    </w:p>
    <w:p w14:paraId="144FE0F9" w14:textId="77777777" w:rsidR="00200F58" w:rsidRPr="004C3FD3" w:rsidRDefault="00200F58" w:rsidP="00200F58">
      <w:pPr>
        <w:pStyle w:val="ListParagraph"/>
        <w:ind w:left="567"/>
        <w:rPr>
          <w:rFonts w:ascii="Arial" w:hAnsi="Arial" w:cs="Arial"/>
          <w:bCs/>
          <w:szCs w:val="24"/>
        </w:rPr>
      </w:pPr>
    </w:p>
    <w:p w14:paraId="57767C5C" w14:textId="77777777" w:rsidR="00200F58" w:rsidRPr="004C3FD3" w:rsidRDefault="00200F58" w:rsidP="00200F58">
      <w:pPr>
        <w:pStyle w:val="ListParagraph"/>
        <w:numPr>
          <w:ilvl w:val="0"/>
          <w:numId w:val="1"/>
        </w:numPr>
        <w:ind w:left="567" w:hanging="567"/>
        <w:rPr>
          <w:rFonts w:ascii="Arial" w:hAnsi="Arial" w:cs="Arial"/>
          <w:b/>
          <w:szCs w:val="24"/>
          <w:u w:val="single"/>
        </w:rPr>
      </w:pPr>
      <w:r w:rsidRPr="004C3FD3">
        <w:rPr>
          <w:rFonts w:ascii="Arial" w:hAnsi="Arial" w:cs="Arial"/>
          <w:b/>
          <w:szCs w:val="24"/>
          <w:u w:val="single"/>
        </w:rPr>
        <w:t>COMPLAINTS TO THE SCOTTISH PUBLIC SERVICES OMBUDSMAN</w:t>
      </w:r>
    </w:p>
    <w:p w14:paraId="778DAF55" w14:textId="77777777" w:rsidR="00200F58" w:rsidRPr="004C3FD3" w:rsidRDefault="00200F58" w:rsidP="00200F58">
      <w:pPr>
        <w:ind w:left="567"/>
        <w:rPr>
          <w:rFonts w:ascii="Arial" w:hAnsi="Arial" w:cs="Arial"/>
          <w:bCs/>
          <w:szCs w:val="24"/>
        </w:rPr>
      </w:pPr>
    </w:p>
    <w:p w14:paraId="118C4EE3" w14:textId="4AB1CBDC" w:rsidR="00200F58" w:rsidRPr="004C3FD3" w:rsidRDefault="00200F58" w:rsidP="00200F58">
      <w:pPr>
        <w:ind w:left="567"/>
        <w:rPr>
          <w:rFonts w:ascii="Arial" w:hAnsi="Arial" w:cs="Arial"/>
          <w:bCs/>
          <w:szCs w:val="24"/>
        </w:rPr>
      </w:pPr>
      <w:r w:rsidRPr="004C3FD3">
        <w:rPr>
          <w:rFonts w:ascii="Arial" w:hAnsi="Arial" w:cs="Arial"/>
          <w:bCs/>
          <w:szCs w:val="24"/>
        </w:rPr>
        <w:t>Service users who have exhausted the Association’s Complaints Procedure have the right of appeal to the Scottish Public Services Ombudsman. For complaints relating to Factoring</w:t>
      </w:r>
      <w:r w:rsidR="00F65567" w:rsidRPr="004C3FD3">
        <w:rPr>
          <w:rFonts w:ascii="Arial" w:hAnsi="Arial" w:cs="Arial"/>
          <w:bCs/>
          <w:szCs w:val="24"/>
        </w:rPr>
        <w:t>,</w:t>
      </w:r>
      <w:r w:rsidRPr="004C3FD3">
        <w:rPr>
          <w:rFonts w:ascii="Arial" w:hAnsi="Arial" w:cs="Arial"/>
          <w:bCs/>
          <w:szCs w:val="24"/>
        </w:rPr>
        <w:t xml:space="preserve"> the First Tier Tribunal (Housing and Property Chamber) would consider the matter.</w:t>
      </w:r>
    </w:p>
    <w:p w14:paraId="4EBB0972" w14:textId="77777777" w:rsidR="00200F58" w:rsidRPr="004C3FD3" w:rsidRDefault="00200F58" w:rsidP="00200F58">
      <w:pPr>
        <w:ind w:left="567"/>
        <w:rPr>
          <w:rFonts w:ascii="Arial" w:hAnsi="Arial" w:cs="Arial"/>
          <w:bCs/>
          <w:szCs w:val="24"/>
        </w:rPr>
      </w:pPr>
    </w:p>
    <w:p w14:paraId="36C07E77" w14:textId="35E60D8E" w:rsidR="00D2056A" w:rsidRPr="004C3FD3" w:rsidRDefault="000575E6" w:rsidP="00F46DC9">
      <w:pPr>
        <w:ind w:left="567"/>
        <w:rPr>
          <w:rFonts w:ascii="Arial" w:hAnsi="Arial" w:cs="Arial"/>
          <w:bCs/>
          <w:szCs w:val="24"/>
        </w:rPr>
      </w:pPr>
      <w:r w:rsidRPr="004C3FD3">
        <w:rPr>
          <w:rFonts w:ascii="Arial" w:hAnsi="Arial" w:cs="Arial"/>
          <w:bCs/>
          <w:szCs w:val="24"/>
        </w:rPr>
        <w:t>Dur</w:t>
      </w:r>
      <w:r w:rsidR="003A0772">
        <w:rPr>
          <w:rFonts w:ascii="Arial" w:hAnsi="Arial" w:cs="Arial"/>
          <w:bCs/>
          <w:szCs w:val="24"/>
        </w:rPr>
        <w:t>ing Quarters 1</w:t>
      </w:r>
      <w:r w:rsidR="007A46CA">
        <w:rPr>
          <w:rFonts w:ascii="Arial" w:hAnsi="Arial" w:cs="Arial"/>
          <w:bCs/>
          <w:szCs w:val="24"/>
        </w:rPr>
        <w:t>, 2 and 3</w:t>
      </w:r>
      <w:r w:rsidR="00F46DC9">
        <w:rPr>
          <w:rFonts w:ascii="Arial" w:hAnsi="Arial" w:cs="Arial"/>
          <w:bCs/>
          <w:szCs w:val="24"/>
        </w:rPr>
        <w:t xml:space="preserve">, </w:t>
      </w:r>
      <w:r w:rsidR="00F13EBE">
        <w:rPr>
          <w:rFonts w:ascii="Arial" w:hAnsi="Arial" w:cs="Arial"/>
          <w:bCs/>
          <w:szCs w:val="24"/>
        </w:rPr>
        <w:t xml:space="preserve">no </w:t>
      </w:r>
      <w:r w:rsidR="00200F58" w:rsidRPr="004C3FD3">
        <w:rPr>
          <w:rFonts w:ascii="Arial" w:hAnsi="Arial" w:cs="Arial"/>
          <w:bCs/>
          <w:szCs w:val="24"/>
        </w:rPr>
        <w:t>complaint</w:t>
      </w:r>
      <w:r w:rsidR="00F13EBE">
        <w:rPr>
          <w:rFonts w:ascii="Arial" w:hAnsi="Arial" w:cs="Arial"/>
          <w:bCs/>
          <w:szCs w:val="24"/>
        </w:rPr>
        <w:t>s</w:t>
      </w:r>
      <w:r w:rsidR="00985D20" w:rsidRPr="004C3FD3">
        <w:rPr>
          <w:rFonts w:ascii="Arial" w:hAnsi="Arial" w:cs="Arial"/>
          <w:bCs/>
          <w:szCs w:val="24"/>
        </w:rPr>
        <w:t xml:space="preserve"> </w:t>
      </w:r>
      <w:r w:rsidR="00661C5B" w:rsidRPr="004C3FD3">
        <w:rPr>
          <w:rFonts w:ascii="Arial" w:hAnsi="Arial" w:cs="Arial"/>
          <w:bCs/>
          <w:szCs w:val="24"/>
        </w:rPr>
        <w:t>w</w:t>
      </w:r>
      <w:r w:rsidR="00F13EBE">
        <w:rPr>
          <w:rFonts w:ascii="Arial" w:hAnsi="Arial" w:cs="Arial"/>
          <w:bCs/>
          <w:szCs w:val="24"/>
        </w:rPr>
        <w:t>ere</w:t>
      </w:r>
      <w:r w:rsidR="00200F58" w:rsidRPr="004C3FD3">
        <w:rPr>
          <w:rFonts w:ascii="Arial" w:hAnsi="Arial" w:cs="Arial"/>
          <w:bCs/>
          <w:szCs w:val="24"/>
        </w:rPr>
        <w:t xml:space="preserve"> referred to the Ombudsman</w:t>
      </w:r>
      <w:r w:rsidR="00F46DC9">
        <w:rPr>
          <w:rFonts w:ascii="Arial" w:hAnsi="Arial" w:cs="Arial"/>
          <w:bCs/>
          <w:szCs w:val="24"/>
        </w:rPr>
        <w:t xml:space="preserve"> </w:t>
      </w:r>
      <w:r w:rsidR="00F13EBE">
        <w:rPr>
          <w:rFonts w:ascii="Arial" w:hAnsi="Arial" w:cs="Arial"/>
          <w:bCs/>
          <w:szCs w:val="24"/>
        </w:rPr>
        <w:t>or</w:t>
      </w:r>
      <w:r w:rsidR="00F46DC9">
        <w:rPr>
          <w:rFonts w:ascii="Arial" w:hAnsi="Arial" w:cs="Arial"/>
          <w:bCs/>
          <w:szCs w:val="24"/>
        </w:rPr>
        <w:t xml:space="preserve"> to</w:t>
      </w:r>
      <w:r w:rsidR="00614BCC" w:rsidRPr="004C3FD3">
        <w:rPr>
          <w:rFonts w:ascii="Arial" w:hAnsi="Arial" w:cs="Arial"/>
          <w:bCs/>
          <w:szCs w:val="24"/>
        </w:rPr>
        <w:t xml:space="preserve"> the First Tier Tribunal (Housing and Property Chamber)</w:t>
      </w:r>
      <w:r w:rsidR="00D2056A" w:rsidRPr="004C3FD3">
        <w:rPr>
          <w:rFonts w:ascii="Arial" w:hAnsi="Arial" w:cs="Arial"/>
          <w:bCs/>
          <w:szCs w:val="24"/>
        </w:rPr>
        <w:t>.</w:t>
      </w:r>
    </w:p>
    <w:p w14:paraId="034B9AA9" w14:textId="77777777" w:rsidR="00200F58" w:rsidRPr="004C3FD3" w:rsidRDefault="00200F58" w:rsidP="00200F58">
      <w:pPr>
        <w:ind w:left="567"/>
        <w:rPr>
          <w:rFonts w:ascii="Arial" w:hAnsi="Arial" w:cs="Arial"/>
          <w:bCs/>
          <w:szCs w:val="24"/>
        </w:rPr>
      </w:pPr>
    </w:p>
    <w:p w14:paraId="0678FD38" w14:textId="77777777" w:rsidR="00200F58" w:rsidRPr="004C3FD3" w:rsidRDefault="00200F58" w:rsidP="00200F58">
      <w:pPr>
        <w:pStyle w:val="ListParagraph"/>
        <w:numPr>
          <w:ilvl w:val="0"/>
          <w:numId w:val="1"/>
        </w:numPr>
        <w:ind w:left="567" w:hanging="567"/>
        <w:rPr>
          <w:rFonts w:ascii="Arial" w:hAnsi="Arial" w:cs="Arial"/>
          <w:b/>
          <w:szCs w:val="24"/>
          <w:u w:val="single"/>
        </w:rPr>
      </w:pPr>
      <w:r w:rsidRPr="004C3FD3">
        <w:rPr>
          <w:rFonts w:ascii="Arial" w:hAnsi="Arial" w:cs="Arial"/>
          <w:b/>
          <w:szCs w:val="24"/>
          <w:u w:val="single"/>
        </w:rPr>
        <w:t>POSITIVE FEEDBACK</w:t>
      </w:r>
    </w:p>
    <w:p w14:paraId="6A970D2F" w14:textId="77777777" w:rsidR="00200F58" w:rsidRPr="004C3FD3" w:rsidRDefault="00200F58" w:rsidP="00200F58">
      <w:pPr>
        <w:pStyle w:val="ListParagraph"/>
        <w:ind w:left="567"/>
        <w:rPr>
          <w:rFonts w:ascii="Arial" w:hAnsi="Arial" w:cs="Arial"/>
          <w:bCs/>
          <w:szCs w:val="24"/>
        </w:rPr>
      </w:pPr>
    </w:p>
    <w:p w14:paraId="3FE1AB9E" w14:textId="740D81DC" w:rsidR="00200F58" w:rsidRPr="004C3FD3" w:rsidRDefault="00200F58" w:rsidP="00200F58">
      <w:pPr>
        <w:pStyle w:val="ListParagraph"/>
        <w:ind w:left="567"/>
        <w:rPr>
          <w:rFonts w:ascii="Arial" w:hAnsi="Arial" w:cs="Arial"/>
          <w:bCs/>
          <w:szCs w:val="24"/>
        </w:rPr>
      </w:pPr>
      <w:r w:rsidRPr="004C3FD3">
        <w:rPr>
          <w:rFonts w:ascii="Arial" w:hAnsi="Arial" w:cs="Arial"/>
          <w:bCs/>
          <w:szCs w:val="24"/>
        </w:rPr>
        <w:t xml:space="preserve">The table </w:t>
      </w:r>
      <w:r w:rsidR="00F13EBE">
        <w:rPr>
          <w:rFonts w:ascii="Arial" w:hAnsi="Arial" w:cs="Arial"/>
          <w:bCs/>
          <w:szCs w:val="24"/>
        </w:rPr>
        <w:t>below</w:t>
      </w:r>
      <w:r w:rsidR="00F65567" w:rsidRPr="004C3FD3">
        <w:rPr>
          <w:rFonts w:ascii="Arial" w:hAnsi="Arial" w:cs="Arial"/>
          <w:bCs/>
          <w:szCs w:val="24"/>
        </w:rPr>
        <w:t xml:space="preserve"> </w:t>
      </w:r>
      <w:r w:rsidRPr="004C3FD3">
        <w:rPr>
          <w:rFonts w:ascii="Arial" w:hAnsi="Arial" w:cs="Arial"/>
          <w:bCs/>
          <w:szCs w:val="24"/>
        </w:rPr>
        <w:t xml:space="preserve">highlights the level of positive feedback the Association has received during </w:t>
      </w:r>
      <w:r w:rsidR="00661C5B" w:rsidRPr="004C3FD3">
        <w:rPr>
          <w:rFonts w:ascii="Arial" w:hAnsi="Arial" w:cs="Arial"/>
          <w:bCs/>
          <w:szCs w:val="24"/>
        </w:rPr>
        <w:t>202</w:t>
      </w:r>
      <w:r w:rsidR="00F13EBE">
        <w:rPr>
          <w:rFonts w:ascii="Arial" w:hAnsi="Arial" w:cs="Arial"/>
          <w:bCs/>
          <w:szCs w:val="24"/>
        </w:rPr>
        <w:t xml:space="preserve">4-25 </w:t>
      </w:r>
      <w:r w:rsidRPr="004C3FD3">
        <w:rPr>
          <w:rFonts w:ascii="Arial" w:hAnsi="Arial" w:cs="Arial"/>
          <w:bCs/>
          <w:szCs w:val="24"/>
        </w:rPr>
        <w:t xml:space="preserve">compared to the last </w:t>
      </w:r>
      <w:r w:rsidR="00F651EF" w:rsidRPr="004C3FD3">
        <w:rPr>
          <w:rFonts w:ascii="Arial" w:hAnsi="Arial" w:cs="Arial"/>
          <w:bCs/>
          <w:szCs w:val="24"/>
        </w:rPr>
        <w:t>3</w:t>
      </w:r>
      <w:r w:rsidRPr="004C3FD3">
        <w:rPr>
          <w:rFonts w:ascii="Arial" w:hAnsi="Arial" w:cs="Arial"/>
          <w:bCs/>
          <w:szCs w:val="24"/>
        </w:rPr>
        <w:t xml:space="preserve"> years.</w:t>
      </w:r>
    </w:p>
    <w:p w14:paraId="5028581B" w14:textId="77777777" w:rsidR="00B60EAE" w:rsidRPr="004C3FD3" w:rsidRDefault="00B60EAE" w:rsidP="00200F58">
      <w:pPr>
        <w:pStyle w:val="ListParagraph"/>
        <w:ind w:left="567"/>
        <w:rPr>
          <w:rFonts w:ascii="Arial" w:hAnsi="Arial" w:cs="Arial"/>
          <w:bCs/>
          <w:szCs w:val="24"/>
        </w:rPr>
      </w:pPr>
    </w:p>
    <w:tbl>
      <w:tblPr>
        <w:tblStyle w:val="TableGrid"/>
        <w:tblW w:w="0" w:type="auto"/>
        <w:jc w:val="center"/>
        <w:tblLook w:val="04A0" w:firstRow="1" w:lastRow="0" w:firstColumn="1" w:lastColumn="0" w:noHBand="0" w:noVBand="1"/>
      </w:tblPr>
      <w:tblGrid>
        <w:gridCol w:w="2642"/>
        <w:gridCol w:w="1734"/>
      </w:tblGrid>
      <w:tr w:rsidR="00200F58" w:rsidRPr="00626C4F" w14:paraId="6D07FF40" w14:textId="77777777" w:rsidTr="00ED4FE4">
        <w:trPr>
          <w:jc w:val="center"/>
        </w:trPr>
        <w:tc>
          <w:tcPr>
            <w:tcW w:w="2642" w:type="dxa"/>
            <w:shd w:val="clear" w:color="auto" w:fill="BFBFBF" w:themeFill="background1" w:themeFillShade="BF"/>
            <w:vAlign w:val="center"/>
          </w:tcPr>
          <w:p w14:paraId="1B389C45" w14:textId="77777777" w:rsidR="00200F58" w:rsidRPr="00626C4F" w:rsidRDefault="00200F58" w:rsidP="00ED4FE4">
            <w:pPr>
              <w:pStyle w:val="ListParagraph"/>
              <w:ind w:left="0"/>
              <w:jc w:val="center"/>
              <w:rPr>
                <w:rFonts w:ascii="Arial" w:hAnsi="Arial" w:cs="Arial"/>
                <w:bCs/>
                <w:sz w:val="24"/>
                <w:szCs w:val="24"/>
              </w:rPr>
            </w:pPr>
          </w:p>
        </w:tc>
        <w:tc>
          <w:tcPr>
            <w:tcW w:w="1734" w:type="dxa"/>
            <w:shd w:val="clear" w:color="auto" w:fill="BFBFBF" w:themeFill="background1" w:themeFillShade="BF"/>
          </w:tcPr>
          <w:p w14:paraId="65CFB963" w14:textId="77777777" w:rsidR="00200F58" w:rsidRPr="00626C4F" w:rsidRDefault="00200F58" w:rsidP="00ED4FE4">
            <w:pPr>
              <w:pStyle w:val="ListParagraph"/>
              <w:ind w:left="0"/>
              <w:jc w:val="center"/>
              <w:rPr>
                <w:rFonts w:ascii="Arial" w:hAnsi="Arial" w:cs="Arial"/>
                <w:b/>
                <w:sz w:val="24"/>
                <w:szCs w:val="24"/>
              </w:rPr>
            </w:pPr>
            <w:r w:rsidRPr="00626C4F">
              <w:rPr>
                <w:rFonts w:ascii="Arial" w:hAnsi="Arial" w:cs="Arial"/>
                <w:b/>
                <w:sz w:val="24"/>
                <w:szCs w:val="24"/>
              </w:rPr>
              <w:t>Total</w:t>
            </w:r>
          </w:p>
        </w:tc>
      </w:tr>
      <w:tr w:rsidR="00661C5B" w:rsidRPr="00626C4F" w14:paraId="62B5827D" w14:textId="77777777" w:rsidTr="00ED4FE4">
        <w:trPr>
          <w:jc w:val="center"/>
        </w:trPr>
        <w:tc>
          <w:tcPr>
            <w:tcW w:w="2642" w:type="dxa"/>
            <w:vAlign w:val="center"/>
          </w:tcPr>
          <w:p w14:paraId="2978CEB7" w14:textId="3D8C1430" w:rsidR="00661C5B" w:rsidRPr="00626C4F" w:rsidRDefault="00661C5B" w:rsidP="00ED4FE4">
            <w:pPr>
              <w:pStyle w:val="ListParagraph"/>
              <w:ind w:left="0"/>
              <w:jc w:val="center"/>
              <w:rPr>
                <w:rFonts w:ascii="Arial" w:hAnsi="Arial" w:cs="Arial"/>
                <w:b/>
                <w:sz w:val="24"/>
                <w:szCs w:val="24"/>
              </w:rPr>
            </w:pPr>
            <w:r w:rsidRPr="00626C4F">
              <w:rPr>
                <w:rFonts w:ascii="Arial" w:hAnsi="Arial" w:cs="Arial"/>
                <w:b/>
                <w:sz w:val="24"/>
                <w:szCs w:val="24"/>
              </w:rPr>
              <w:t>2021-22</w:t>
            </w:r>
          </w:p>
        </w:tc>
        <w:tc>
          <w:tcPr>
            <w:tcW w:w="1734" w:type="dxa"/>
          </w:tcPr>
          <w:p w14:paraId="1A9F0CA9" w14:textId="0116A8AF" w:rsidR="00661C5B" w:rsidRPr="00626C4F" w:rsidRDefault="00661C5B" w:rsidP="00ED4FE4">
            <w:pPr>
              <w:pStyle w:val="ListParagraph"/>
              <w:ind w:left="0"/>
              <w:jc w:val="center"/>
              <w:rPr>
                <w:rFonts w:ascii="Arial" w:hAnsi="Arial" w:cs="Arial"/>
                <w:bCs/>
                <w:sz w:val="24"/>
                <w:szCs w:val="24"/>
              </w:rPr>
            </w:pPr>
            <w:r w:rsidRPr="00626C4F">
              <w:rPr>
                <w:rFonts w:ascii="Arial" w:hAnsi="Arial" w:cs="Arial"/>
                <w:bCs/>
                <w:sz w:val="24"/>
                <w:szCs w:val="24"/>
              </w:rPr>
              <w:t>129</w:t>
            </w:r>
          </w:p>
        </w:tc>
      </w:tr>
      <w:tr w:rsidR="00B60EAE" w:rsidRPr="00626C4F" w14:paraId="01676EF0" w14:textId="77777777" w:rsidTr="00ED4FE4">
        <w:trPr>
          <w:jc w:val="center"/>
        </w:trPr>
        <w:tc>
          <w:tcPr>
            <w:tcW w:w="2642" w:type="dxa"/>
            <w:vAlign w:val="center"/>
          </w:tcPr>
          <w:p w14:paraId="6F3BFCF6" w14:textId="67E95C8D" w:rsidR="00B60EAE" w:rsidRPr="00626C4F" w:rsidRDefault="00B60EAE" w:rsidP="00ED4FE4">
            <w:pPr>
              <w:pStyle w:val="ListParagraph"/>
              <w:ind w:left="0"/>
              <w:jc w:val="center"/>
              <w:rPr>
                <w:rFonts w:ascii="Arial" w:hAnsi="Arial" w:cs="Arial"/>
                <w:b/>
                <w:sz w:val="24"/>
                <w:szCs w:val="24"/>
              </w:rPr>
            </w:pPr>
            <w:r w:rsidRPr="00626C4F">
              <w:rPr>
                <w:rFonts w:ascii="Arial" w:hAnsi="Arial" w:cs="Arial"/>
                <w:b/>
                <w:sz w:val="24"/>
                <w:szCs w:val="24"/>
              </w:rPr>
              <w:t>2022-23</w:t>
            </w:r>
          </w:p>
        </w:tc>
        <w:tc>
          <w:tcPr>
            <w:tcW w:w="1734" w:type="dxa"/>
          </w:tcPr>
          <w:p w14:paraId="6B644993" w14:textId="33CE1AD2" w:rsidR="00B60EAE" w:rsidRPr="00626C4F" w:rsidRDefault="00B60EAE" w:rsidP="00ED4FE4">
            <w:pPr>
              <w:pStyle w:val="ListParagraph"/>
              <w:ind w:left="0"/>
              <w:jc w:val="center"/>
              <w:rPr>
                <w:rFonts w:ascii="Arial" w:hAnsi="Arial" w:cs="Arial"/>
                <w:bCs/>
                <w:sz w:val="24"/>
                <w:szCs w:val="24"/>
              </w:rPr>
            </w:pPr>
            <w:r w:rsidRPr="00626C4F">
              <w:rPr>
                <w:rFonts w:ascii="Arial" w:hAnsi="Arial" w:cs="Arial"/>
                <w:bCs/>
                <w:sz w:val="24"/>
                <w:szCs w:val="24"/>
              </w:rPr>
              <w:t>274</w:t>
            </w:r>
          </w:p>
        </w:tc>
      </w:tr>
      <w:tr w:rsidR="00F13EBE" w:rsidRPr="00626C4F" w14:paraId="01784E09" w14:textId="77777777" w:rsidTr="00ED4FE4">
        <w:trPr>
          <w:jc w:val="center"/>
        </w:trPr>
        <w:tc>
          <w:tcPr>
            <w:tcW w:w="2642" w:type="dxa"/>
            <w:vAlign w:val="center"/>
          </w:tcPr>
          <w:p w14:paraId="536A6E17" w14:textId="5EA8DA77" w:rsidR="00F13EBE" w:rsidRPr="00626C4F" w:rsidRDefault="00F13EBE" w:rsidP="00ED4FE4">
            <w:pPr>
              <w:pStyle w:val="ListParagraph"/>
              <w:ind w:left="0"/>
              <w:jc w:val="center"/>
              <w:rPr>
                <w:rFonts w:ascii="Arial" w:hAnsi="Arial" w:cs="Arial"/>
                <w:b/>
                <w:szCs w:val="24"/>
              </w:rPr>
            </w:pPr>
            <w:r w:rsidRPr="00F13EBE">
              <w:rPr>
                <w:rFonts w:ascii="Arial" w:hAnsi="Arial" w:cs="Arial"/>
                <w:b/>
                <w:sz w:val="24"/>
                <w:szCs w:val="24"/>
              </w:rPr>
              <w:t>2023-24</w:t>
            </w:r>
          </w:p>
        </w:tc>
        <w:tc>
          <w:tcPr>
            <w:tcW w:w="1734" w:type="dxa"/>
          </w:tcPr>
          <w:p w14:paraId="350E524E" w14:textId="3F48903E" w:rsidR="00F13EBE" w:rsidRPr="00626C4F" w:rsidRDefault="00F13EBE" w:rsidP="00ED4FE4">
            <w:pPr>
              <w:pStyle w:val="ListParagraph"/>
              <w:ind w:left="0"/>
              <w:jc w:val="center"/>
              <w:rPr>
                <w:rFonts w:ascii="Arial" w:hAnsi="Arial" w:cs="Arial"/>
                <w:bCs/>
                <w:szCs w:val="24"/>
              </w:rPr>
            </w:pPr>
            <w:r w:rsidRPr="00F13EBE">
              <w:rPr>
                <w:rFonts w:ascii="Arial" w:hAnsi="Arial" w:cs="Arial"/>
                <w:bCs/>
                <w:sz w:val="24"/>
                <w:szCs w:val="24"/>
              </w:rPr>
              <w:t>396</w:t>
            </w:r>
          </w:p>
        </w:tc>
      </w:tr>
      <w:tr w:rsidR="00200F58" w:rsidRPr="00626C4F" w14:paraId="2BF2E0D7" w14:textId="77777777" w:rsidTr="00ED4FE4">
        <w:trPr>
          <w:jc w:val="center"/>
        </w:trPr>
        <w:tc>
          <w:tcPr>
            <w:tcW w:w="2642" w:type="dxa"/>
            <w:shd w:val="clear" w:color="auto" w:fill="BFBFBF" w:themeFill="background1" w:themeFillShade="BF"/>
            <w:vAlign w:val="center"/>
          </w:tcPr>
          <w:p w14:paraId="577BA2F5" w14:textId="53068794" w:rsidR="00200F58" w:rsidRPr="00626C4F" w:rsidRDefault="00F13EBE" w:rsidP="00ED4FE4">
            <w:pPr>
              <w:pStyle w:val="ListParagraph"/>
              <w:ind w:left="0"/>
              <w:jc w:val="center"/>
              <w:rPr>
                <w:rFonts w:ascii="Arial" w:hAnsi="Arial" w:cs="Arial"/>
                <w:b/>
                <w:sz w:val="24"/>
                <w:szCs w:val="24"/>
              </w:rPr>
            </w:pPr>
            <w:r>
              <w:rPr>
                <w:rFonts w:ascii="Arial" w:hAnsi="Arial" w:cs="Arial"/>
                <w:b/>
                <w:sz w:val="24"/>
                <w:szCs w:val="24"/>
              </w:rPr>
              <w:t>2024-25</w:t>
            </w:r>
          </w:p>
        </w:tc>
        <w:tc>
          <w:tcPr>
            <w:tcW w:w="1734" w:type="dxa"/>
            <w:shd w:val="clear" w:color="auto" w:fill="BFBFBF" w:themeFill="background1" w:themeFillShade="BF"/>
          </w:tcPr>
          <w:p w14:paraId="3D2768F9" w14:textId="77777777" w:rsidR="00200F58" w:rsidRPr="00626C4F" w:rsidRDefault="00200F58" w:rsidP="00ED4FE4">
            <w:pPr>
              <w:pStyle w:val="ListParagraph"/>
              <w:ind w:left="0"/>
              <w:jc w:val="center"/>
              <w:rPr>
                <w:rFonts w:ascii="Arial" w:hAnsi="Arial" w:cs="Arial"/>
                <w:b/>
                <w:sz w:val="24"/>
                <w:szCs w:val="24"/>
              </w:rPr>
            </w:pPr>
          </w:p>
        </w:tc>
      </w:tr>
      <w:tr w:rsidR="00200F58" w:rsidRPr="00626C4F" w14:paraId="436657D7" w14:textId="77777777" w:rsidTr="00ED4FE4">
        <w:trPr>
          <w:jc w:val="center"/>
        </w:trPr>
        <w:tc>
          <w:tcPr>
            <w:tcW w:w="2642" w:type="dxa"/>
            <w:vAlign w:val="center"/>
          </w:tcPr>
          <w:p w14:paraId="1FA85D6B" w14:textId="77777777" w:rsidR="00200F58" w:rsidRPr="00626C4F" w:rsidRDefault="00200F58" w:rsidP="00ED4FE4">
            <w:pPr>
              <w:pStyle w:val="ListParagraph"/>
              <w:ind w:left="0"/>
              <w:jc w:val="center"/>
              <w:rPr>
                <w:rFonts w:ascii="Arial" w:hAnsi="Arial" w:cs="Arial"/>
                <w:b/>
                <w:sz w:val="24"/>
                <w:szCs w:val="24"/>
              </w:rPr>
            </w:pPr>
            <w:r w:rsidRPr="00626C4F">
              <w:rPr>
                <w:rFonts w:ascii="Arial" w:hAnsi="Arial" w:cs="Arial"/>
                <w:b/>
                <w:sz w:val="24"/>
                <w:szCs w:val="24"/>
              </w:rPr>
              <w:t>Q1</w:t>
            </w:r>
          </w:p>
        </w:tc>
        <w:tc>
          <w:tcPr>
            <w:tcW w:w="1734" w:type="dxa"/>
          </w:tcPr>
          <w:p w14:paraId="19148606" w14:textId="01F377C8" w:rsidR="00200F58" w:rsidRPr="00626C4F" w:rsidRDefault="00F13EBE" w:rsidP="00ED4FE4">
            <w:pPr>
              <w:pStyle w:val="ListParagraph"/>
              <w:ind w:left="0"/>
              <w:jc w:val="center"/>
              <w:rPr>
                <w:rFonts w:ascii="Arial" w:hAnsi="Arial" w:cs="Arial"/>
                <w:bCs/>
                <w:sz w:val="24"/>
                <w:szCs w:val="24"/>
              </w:rPr>
            </w:pPr>
            <w:r>
              <w:rPr>
                <w:rFonts w:ascii="Arial" w:hAnsi="Arial" w:cs="Arial"/>
                <w:bCs/>
                <w:sz w:val="24"/>
                <w:szCs w:val="24"/>
              </w:rPr>
              <w:t>200</w:t>
            </w:r>
          </w:p>
        </w:tc>
      </w:tr>
      <w:tr w:rsidR="00200F58" w:rsidRPr="00626C4F" w14:paraId="47038DAE" w14:textId="77777777" w:rsidTr="00ED4FE4">
        <w:trPr>
          <w:jc w:val="center"/>
        </w:trPr>
        <w:tc>
          <w:tcPr>
            <w:tcW w:w="2642" w:type="dxa"/>
            <w:vAlign w:val="center"/>
          </w:tcPr>
          <w:p w14:paraId="4844ADC5" w14:textId="77777777" w:rsidR="00200F58" w:rsidRPr="00626C4F" w:rsidRDefault="00200F58" w:rsidP="00ED4FE4">
            <w:pPr>
              <w:pStyle w:val="ListParagraph"/>
              <w:ind w:left="0"/>
              <w:jc w:val="center"/>
              <w:rPr>
                <w:rFonts w:ascii="Arial" w:hAnsi="Arial" w:cs="Arial"/>
                <w:b/>
                <w:sz w:val="24"/>
                <w:szCs w:val="24"/>
              </w:rPr>
            </w:pPr>
            <w:r w:rsidRPr="00626C4F">
              <w:rPr>
                <w:rFonts w:ascii="Arial" w:hAnsi="Arial" w:cs="Arial"/>
                <w:b/>
                <w:sz w:val="24"/>
                <w:szCs w:val="24"/>
              </w:rPr>
              <w:t>Q2</w:t>
            </w:r>
          </w:p>
        </w:tc>
        <w:tc>
          <w:tcPr>
            <w:tcW w:w="1734" w:type="dxa"/>
          </w:tcPr>
          <w:p w14:paraId="0DCB302B" w14:textId="6DA0C3BC" w:rsidR="00200F58" w:rsidRPr="00626C4F" w:rsidRDefault="003A0772" w:rsidP="00ED4FE4">
            <w:pPr>
              <w:pStyle w:val="ListParagraph"/>
              <w:ind w:left="0"/>
              <w:jc w:val="center"/>
              <w:rPr>
                <w:rFonts w:ascii="Arial" w:hAnsi="Arial" w:cs="Arial"/>
                <w:bCs/>
                <w:sz w:val="24"/>
                <w:szCs w:val="24"/>
              </w:rPr>
            </w:pPr>
            <w:r>
              <w:rPr>
                <w:rFonts w:ascii="Arial" w:hAnsi="Arial" w:cs="Arial"/>
                <w:bCs/>
                <w:sz w:val="24"/>
                <w:szCs w:val="24"/>
              </w:rPr>
              <w:t>205</w:t>
            </w:r>
          </w:p>
        </w:tc>
      </w:tr>
      <w:tr w:rsidR="000945BE" w:rsidRPr="00626C4F" w14:paraId="00158BEB" w14:textId="77777777" w:rsidTr="00ED4FE4">
        <w:trPr>
          <w:jc w:val="center"/>
        </w:trPr>
        <w:tc>
          <w:tcPr>
            <w:tcW w:w="2642" w:type="dxa"/>
            <w:vAlign w:val="center"/>
          </w:tcPr>
          <w:p w14:paraId="3BE7D75C" w14:textId="44A9C937" w:rsidR="000945BE" w:rsidRPr="00626C4F" w:rsidRDefault="000945BE" w:rsidP="00ED4FE4">
            <w:pPr>
              <w:pStyle w:val="ListParagraph"/>
              <w:ind w:left="0"/>
              <w:jc w:val="center"/>
              <w:rPr>
                <w:rFonts w:ascii="Arial" w:hAnsi="Arial" w:cs="Arial"/>
                <w:b/>
                <w:sz w:val="24"/>
                <w:szCs w:val="24"/>
              </w:rPr>
            </w:pPr>
            <w:r w:rsidRPr="00626C4F">
              <w:rPr>
                <w:rFonts w:ascii="Arial" w:hAnsi="Arial" w:cs="Arial"/>
                <w:b/>
                <w:sz w:val="24"/>
                <w:szCs w:val="24"/>
              </w:rPr>
              <w:t>Q3</w:t>
            </w:r>
          </w:p>
        </w:tc>
        <w:tc>
          <w:tcPr>
            <w:tcW w:w="1734" w:type="dxa"/>
          </w:tcPr>
          <w:p w14:paraId="483DA5FC" w14:textId="39901F22" w:rsidR="000945BE" w:rsidRPr="00626C4F" w:rsidRDefault="007A46CA" w:rsidP="00ED4FE4">
            <w:pPr>
              <w:pStyle w:val="ListParagraph"/>
              <w:ind w:left="0"/>
              <w:jc w:val="center"/>
              <w:rPr>
                <w:rFonts w:ascii="Arial" w:hAnsi="Arial" w:cs="Arial"/>
                <w:bCs/>
                <w:sz w:val="24"/>
                <w:szCs w:val="24"/>
              </w:rPr>
            </w:pPr>
            <w:r>
              <w:rPr>
                <w:rFonts w:ascii="Arial" w:hAnsi="Arial" w:cs="Arial"/>
                <w:bCs/>
                <w:sz w:val="24"/>
                <w:szCs w:val="24"/>
              </w:rPr>
              <w:t>191</w:t>
            </w:r>
          </w:p>
        </w:tc>
      </w:tr>
      <w:tr w:rsidR="007C0429" w:rsidRPr="00626C4F" w14:paraId="6BA9151D" w14:textId="77777777" w:rsidTr="00ED4FE4">
        <w:trPr>
          <w:jc w:val="center"/>
        </w:trPr>
        <w:tc>
          <w:tcPr>
            <w:tcW w:w="2642" w:type="dxa"/>
            <w:vAlign w:val="center"/>
          </w:tcPr>
          <w:p w14:paraId="0591F735" w14:textId="0799554F" w:rsidR="007C0429" w:rsidRPr="00626C4F" w:rsidRDefault="007C0429" w:rsidP="00ED4FE4">
            <w:pPr>
              <w:pStyle w:val="ListParagraph"/>
              <w:ind w:left="0"/>
              <w:jc w:val="center"/>
              <w:rPr>
                <w:rFonts w:ascii="Arial" w:hAnsi="Arial" w:cs="Arial"/>
                <w:b/>
                <w:sz w:val="24"/>
                <w:szCs w:val="24"/>
              </w:rPr>
            </w:pPr>
            <w:r w:rsidRPr="00626C4F">
              <w:rPr>
                <w:rFonts w:ascii="Arial" w:hAnsi="Arial" w:cs="Arial"/>
                <w:b/>
                <w:sz w:val="24"/>
                <w:szCs w:val="24"/>
              </w:rPr>
              <w:t>Q4</w:t>
            </w:r>
          </w:p>
        </w:tc>
        <w:tc>
          <w:tcPr>
            <w:tcW w:w="1734" w:type="dxa"/>
          </w:tcPr>
          <w:p w14:paraId="4BC5505E" w14:textId="14815E02" w:rsidR="007C0429" w:rsidRPr="00626C4F" w:rsidRDefault="007C0429" w:rsidP="00ED4FE4">
            <w:pPr>
              <w:pStyle w:val="ListParagraph"/>
              <w:ind w:left="0"/>
              <w:jc w:val="center"/>
              <w:rPr>
                <w:rFonts w:ascii="Arial" w:hAnsi="Arial" w:cs="Arial"/>
                <w:bCs/>
                <w:sz w:val="24"/>
                <w:szCs w:val="24"/>
              </w:rPr>
            </w:pPr>
          </w:p>
        </w:tc>
      </w:tr>
      <w:tr w:rsidR="00200F58" w:rsidRPr="00626C4F" w14:paraId="4ED2A92A" w14:textId="77777777" w:rsidTr="00ED4FE4">
        <w:trPr>
          <w:jc w:val="center"/>
        </w:trPr>
        <w:tc>
          <w:tcPr>
            <w:tcW w:w="2642" w:type="dxa"/>
            <w:vAlign w:val="center"/>
          </w:tcPr>
          <w:p w14:paraId="6E5F1E8E" w14:textId="50DC6D2E" w:rsidR="00200F58" w:rsidRPr="00626C4F" w:rsidRDefault="00200F58" w:rsidP="00ED4FE4">
            <w:pPr>
              <w:pStyle w:val="ListParagraph"/>
              <w:ind w:left="0"/>
              <w:jc w:val="center"/>
              <w:rPr>
                <w:rFonts w:ascii="Arial" w:hAnsi="Arial" w:cs="Arial"/>
                <w:b/>
                <w:sz w:val="24"/>
                <w:szCs w:val="24"/>
              </w:rPr>
            </w:pPr>
            <w:r w:rsidRPr="00626C4F">
              <w:rPr>
                <w:rFonts w:ascii="Arial" w:hAnsi="Arial" w:cs="Arial"/>
                <w:b/>
                <w:sz w:val="24"/>
                <w:szCs w:val="24"/>
              </w:rPr>
              <w:t>202</w:t>
            </w:r>
            <w:r w:rsidR="00B60EAE" w:rsidRPr="00626C4F">
              <w:rPr>
                <w:rFonts w:ascii="Arial" w:hAnsi="Arial" w:cs="Arial"/>
                <w:b/>
                <w:sz w:val="24"/>
                <w:szCs w:val="24"/>
              </w:rPr>
              <w:t>4</w:t>
            </w:r>
            <w:r w:rsidR="00F13EBE">
              <w:rPr>
                <w:rFonts w:ascii="Arial" w:hAnsi="Arial" w:cs="Arial"/>
                <w:b/>
                <w:sz w:val="24"/>
                <w:szCs w:val="24"/>
              </w:rPr>
              <w:t>-25</w:t>
            </w:r>
          </w:p>
        </w:tc>
        <w:tc>
          <w:tcPr>
            <w:tcW w:w="1734" w:type="dxa"/>
          </w:tcPr>
          <w:p w14:paraId="52241F54" w14:textId="04E2A13F" w:rsidR="00200F58" w:rsidRPr="00626C4F" w:rsidRDefault="007A46CA" w:rsidP="00ED4FE4">
            <w:pPr>
              <w:pStyle w:val="ListParagraph"/>
              <w:ind w:left="0"/>
              <w:jc w:val="center"/>
              <w:rPr>
                <w:rFonts w:ascii="Arial" w:hAnsi="Arial" w:cs="Arial"/>
                <w:b/>
                <w:sz w:val="24"/>
                <w:szCs w:val="24"/>
              </w:rPr>
            </w:pPr>
            <w:r>
              <w:rPr>
                <w:rFonts w:ascii="Arial" w:hAnsi="Arial" w:cs="Arial"/>
                <w:b/>
                <w:sz w:val="24"/>
                <w:szCs w:val="24"/>
              </w:rPr>
              <w:t>596</w:t>
            </w:r>
          </w:p>
        </w:tc>
      </w:tr>
    </w:tbl>
    <w:p w14:paraId="6EF74CA2" w14:textId="77777777" w:rsidR="00F13EBE" w:rsidRPr="004C3FD3" w:rsidRDefault="00F13EBE" w:rsidP="00F13EBE">
      <w:pPr>
        <w:pStyle w:val="ListParagraph"/>
        <w:ind w:left="567"/>
        <w:rPr>
          <w:rFonts w:ascii="Arial" w:hAnsi="Arial" w:cs="Arial"/>
          <w:bCs/>
          <w:szCs w:val="24"/>
        </w:rPr>
      </w:pPr>
    </w:p>
    <w:p w14:paraId="2043E681" w14:textId="157A0D5B" w:rsidR="00F13EBE" w:rsidRDefault="00F13EBE" w:rsidP="00F13EBE">
      <w:pPr>
        <w:pStyle w:val="ListParagraph"/>
        <w:ind w:left="567"/>
        <w:rPr>
          <w:rFonts w:ascii="Arial" w:hAnsi="Arial" w:cs="Arial"/>
          <w:bCs/>
          <w:szCs w:val="24"/>
        </w:rPr>
      </w:pPr>
      <w:r w:rsidRPr="004C3FD3">
        <w:rPr>
          <w:rFonts w:ascii="Arial" w:hAnsi="Arial" w:cs="Arial"/>
          <w:bCs/>
          <w:szCs w:val="24"/>
        </w:rPr>
        <w:t>Positive feedback can relate to any area of our services (repairs, allocations, investment, tenancy sustainment, factoring etc.) or can relate to staff and contractors and we have a</w:t>
      </w:r>
      <w:r>
        <w:rPr>
          <w:rFonts w:ascii="Arial" w:hAnsi="Arial" w:cs="Arial"/>
          <w:bCs/>
          <w:szCs w:val="24"/>
        </w:rPr>
        <w:t xml:space="preserve">n annual </w:t>
      </w:r>
      <w:r w:rsidRPr="004C3FD3">
        <w:rPr>
          <w:rFonts w:ascii="Arial" w:hAnsi="Arial" w:cs="Arial"/>
          <w:bCs/>
          <w:szCs w:val="24"/>
        </w:rPr>
        <w:t xml:space="preserve">target of </w:t>
      </w:r>
      <w:r>
        <w:rPr>
          <w:rFonts w:ascii="Arial" w:hAnsi="Arial" w:cs="Arial"/>
          <w:bCs/>
          <w:szCs w:val="24"/>
        </w:rPr>
        <w:t>2</w:t>
      </w:r>
      <w:r w:rsidRPr="004C3FD3">
        <w:rPr>
          <w:rFonts w:ascii="Arial" w:hAnsi="Arial" w:cs="Arial"/>
          <w:bCs/>
          <w:szCs w:val="24"/>
        </w:rPr>
        <w:t>00 per year for 202</w:t>
      </w:r>
      <w:r>
        <w:rPr>
          <w:rFonts w:ascii="Arial" w:hAnsi="Arial" w:cs="Arial"/>
          <w:bCs/>
          <w:szCs w:val="24"/>
        </w:rPr>
        <w:t>4-25.</w:t>
      </w:r>
    </w:p>
    <w:p w14:paraId="02B08D53" w14:textId="5F23E300" w:rsidR="00200F58" w:rsidRPr="00BE3B3E" w:rsidRDefault="00200F58" w:rsidP="00200F58">
      <w:pPr>
        <w:pStyle w:val="ListParagraph"/>
        <w:ind w:left="567"/>
        <w:rPr>
          <w:rFonts w:ascii="Arial" w:hAnsi="Arial" w:cs="Arial"/>
          <w:bCs/>
          <w:szCs w:val="24"/>
        </w:rPr>
      </w:pPr>
    </w:p>
    <w:p w14:paraId="636E04D1" w14:textId="26BE94ED" w:rsidR="00F46DC9" w:rsidRDefault="00200F58" w:rsidP="00200F58">
      <w:pPr>
        <w:pStyle w:val="ListParagraph"/>
        <w:ind w:left="567"/>
        <w:rPr>
          <w:rFonts w:ascii="Arial" w:hAnsi="Arial" w:cs="Arial"/>
          <w:bCs/>
          <w:szCs w:val="24"/>
        </w:rPr>
      </w:pPr>
      <w:r w:rsidRPr="00BE3B3E">
        <w:rPr>
          <w:rFonts w:ascii="Arial" w:hAnsi="Arial" w:cs="Arial"/>
          <w:bCs/>
          <w:szCs w:val="24"/>
        </w:rPr>
        <w:t>During Q</w:t>
      </w:r>
      <w:r w:rsidR="007A46CA">
        <w:rPr>
          <w:rFonts w:ascii="Arial" w:hAnsi="Arial" w:cs="Arial"/>
          <w:bCs/>
          <w:szCs w:val="24"/>
        </w:rPr>
        <w:t>3</w:t>
      </w:r>
      <w:r w:rsidR="00B372DC" w:rsidRPr="00BE3B3E">
        <w:rPr>
          <w:rFonts w:ascii="Arial" w:hAnsi="Arial" w:cs="Arial"/>
          <w:bCs/>
          <w:szCs w:val="24"/>
        </w:rPr>
        <w:t>,</w:t>
      </w:r>
      <w:r w:rsidRPr="00BE3B3E">
        <w:rPr>
          <w:rFonts w:ascii="Arial" w:hAnsi="Arial" w:cs="Arial"/>
          <w:bCs/>
          <w:szCs w:val="24"/>
        </w:rPr>
        <w:t xml:space="preserve"> </w:t>
      </w:r>
      <w:r w:rsidR="00B372DC" w:rsidRPr="00BE3B3E">
        <w:rPr>
          <w:rFonts w:ascii="Arial" w:hAnsi="Arial" w:cs="Arial"/>
          <w:bCs/>
          <w:szCs w:val="24"/>
        </w:rPr>
        <w:t xml:space="preserve">we received </w:t>
      </w:r>
      <w:r w:rsidR="007A46CA">
        <w:rPr>
          <w:rFonts w:ascii="Arial" w:hAnsi="Arial" w:cs="Arial"/>
          <w:bCs/>
          <w:szCs w:val="24"/>
        </w:rPr>
        <w:t>191</w:t>
      </w:r>
      <w:r w:rsidR="00B372DC" w:rsidRPr="00BE3B3E">
        <w:rPr>
          <w:rFonts w:ascii="Arial" w:hAnsi="Arial" w:cs="Arial"/>
          <w:bCs/>
          <w:szCs w:val="24"/>
        </w:rPr>
        <w:t xml:space="preserve"> instances of </w:t>
      </w:r>
      <w:r w:rsidRPr="00BE3B3E">
        <w:rPr>
          <w:rFonts w:ascii="Arial" w:hAnsi="Arial" w:cs="Arial"/>
          <w:bCs/>
          <w:szCs w:val="24"/>
        </w:rPr>
        <w:t>positive feedback from tenants</w:t>
      </w:r>
      <w:r w:rsidR="00B60EAE" w:rsidRPr="00BE3B3E">
        <w:rPr>
          <w:rFonts w:ascii="Arial" w:hAnsi="Arial" w:cs="Arial"/>
          <w:bCs/>
          <w:szCs w:val="24"/>
        </w:rPr>
        <w:t xml:space="preserve">, </w:t>
      </w:r>
      <w:r w:rsidR="003A0772">
        <w:rPr>
          <w:rFonts w:ascii="Arial" w:hAnsi="Arial" w:cs="Arial"/>
          <w:bCs/>
          <w:szCs w:val="24"/>
        </w:rPr>
        <w:t>which continues the high trend above our quarterly target</w:t>
      </w:r>
      <w:r w:rsidRPr="00BE3B3E">
        <w:rPr>
          <w:rFonts w:ascii="Arial" w:hAnsi="Arial" w:cs="Arial"/>
          <w:bCs/>
          <w:szCs w:val="24"/>
        </w:rPr>
        <w:t>.</w:t>
      </w:r>
      <w:r w:rsidR="00F46DC9">
        <w:rPr>
          <w:rFonts w:ascii="Arial" w:hAnsi="Arial" w:cs="Arial"/>
          <w:bCs/>
          <w:szCs w:val="24"/>
        </w:rPr>
        <w:t xml:space="preserve"> It is also worth noting that </w:t>
      </w:r>
      <w:r w:rsidR="003A0772">
        <w:rPr>
          <w:rFonts w:ascii="Arial" w:hAnsi="Arial" w:cs="Arial"/>
          <w:bCs/>
          <w:szCs w:val="24"/>
        </w:rPr>
        <w:t>9</w:t>
      </w:r>
      <w:r w:rsidR="00F13EBE">
        <w:rPr>
          <w:rFonts w:ascii="Arial" w:hAnsi="Arial" w:cs="Arial"/>
          <w:bCs/>
          <w:szCs w:val="24"/>
        </w:rPr>
        <w:t xml:space="preserve"> </w:t>
      </w:r>
      <w:r w:rsidR="00F46DC9">
        <w:rPr>
          <w:rFonts w:ascii="Arial" w:hAnsi="Arial" w:cs="Arial"/>
          <w:bCs/>
          <w:szCs w:val="24"/>
        </w:rPr>
        <w:t xml:space="preserve">of these </w:t>
      </w:r>
      <w:r w:rsidR="00F13EBE">
        <w:rPr>
          <w:rFonts w:ascii="Arial" w:hAnsi="Arial" w:cs="Arial"/>
          <w:bCs/>
          <w:szCs w:val="24"/>
        </w:rPr>
        <w:t>(</w:t>
      </w:r>
      <w:r w:rsidR="003A0772">
        <w:rPr>
          <w:rFonts w:ascii="Arial" w:hAnsi="Arial" w:cs="Arial"/>
          <w:bCs/>
          <w:szCs w:val="24"/>
        </w:rPr>
        <w:t>4.</w:t>
      </w:r>
      <w:r w:rsidR="007A46CA">
        <w:rPr>
          <w:rFonts w:ascii="Arial" w:hAnsi="Arial" w:cs="Arial"/>
          <w:bCs/>
          <w:szCs w:val="24"/>
        </w:rPr>
        <w:t>7</w:t>
      </w:r>
      <w:r w:rsidR="00F13EBE">
        <w:rPr>
          <w:rFonts w:ascii="Arial" w:hAnsi="Arial" w:cs="Arial"/>
          <w:bCs/>
          <w:szCs w:val="24"/>
        </w:rPr>
        <w:t xml:space="preserve">%) </w:t>
      </w:r>
      <w:r w:rsidR="00F46DC9">
        <w:rPr>
          <w:rFonts w:ascii="Arial" w:hAnsi="Arial" w:cs="Arial"/>
          <w:bCs/>
          <w:szCs w:val="24"/>
        </w:rPr>
        <w:t>related to specific feedback about individual staff members and how they dealt with an issue or individual.</w:t>
      </w:r>
    </w:p>
    <w:p w14:paraId="53E038CD" w14:textId="77777777" w:rsidR="00200F58" w:rsidRPr="00F13EBE" w:rsidRDefault="00200F58" w:rsidP="00F13EBE">
      <w:pPr>
        <w:rPr>
          <w:rFonts w:ascii="Arial" w:hAnsi="Arial" w:cs="Arial"/>
          <w:bCs/>
          <w:szCs w:val="24"/>
        </w:rPr>
      </w:pPr>
    </w:p>
    <w:p w14:paraId="5BF005CF" w14:textId="2D5B62C6" w:rsidR="00200F58" w:rsidRPr="00076F89" w:rsidRDefault="00B60EAE" w:rsidP="00200F58">
      <w:pPr>
        <w:pStyle w:val="ListParagraph"/>
        <w:ind w:left="567"/>
        <w:rPr>
          <w:rFonts w:ascii="Arial" w:hAnsi="Arial" w:cs="Arial"/>
          <w:bCs/>
          <w:szCs w:val="24"/>
        </w:rPr>
      </w:pPr>
      <w:r w:rsidRPr="00BE3B3E">
        <w:rPr>
          <w:rFonts w:ascii="Arial" w:hAnsi="Arial" w:cs="Arial"/>
          <w:bCs/>
          <w:szCs w:val="24"/>
        </w:rPr>
        <w:t>Po</w:t>
      </w:r>
      <w:r w:rsidR="00200F58" w:rsidRPr="00BE3B3E">
        <w:rPr>
          <w:rFonts w:ascii="Arial" w:hAnsi="Arial" w:cs="Arial"/>
          <w:bCs/>
          <w:szCs w:val="24"/>
        </w:rPr>
        <w:t xml:space="preserve">sitive feedback </w:t>
      </w:r>
      <w:r w:rsidR="0024783A" w:rsidRPr="00BE3B3E">
        <w:rPr>
          <w:rFonts w:ascii="Arial" w:hAnsi="Arial" w:cs="Arial"/>
          <w:bCs/>
          <w:szCs w:val="24"/>
        </w:rPr>
        <w:t>remains high</w:t>
      </w:r>
      <w:r w:rsidR="006901A7" w:rsidRPr="00BE3B3E">
        <w:rPr>
          <w:rFonts w:ascii="Arial" w:hAnsi="Arial" w:cs="Arial"/>
          <w:bCs/>
          <w:szCs w:val="24"/>
        </w:rPr>
        <w:t xml:space="preserve">, </w:t>
      </w:r>
      <w:r w:rsidR="00BB2E2D" w:rsidRPr="00BE3B3E">
        <w:rPr>
          <w:rFonts w:ascii="Arial" w:hAnsi="Arial" w:cs="Arial"/>
          <w:bCs/>
          <w:szCs w:val="24"/>
        </w:rPr>
        <w:t>reflect</w:t>
      </w:r>
      <w:r w:rsidR="006901A7" w:rsidRPr="00BE3B3E">
        <w:rPr>
          <w:rFonts w:ascii="Arial" w:hAnsi="Arial" w:cs="Arial"/>
          <w:bCs/>
          <w:szCs w:val="24"/>
        </w:rPr>
        <w:t>ing</w:t>
      </w:r>
      <w:r w:rsidR="00BB2E2D" w:rsidRPr="00BE3B3E">
        <w:rPr>
          <w:rFonts w:ascii="Arial" w:hAnsi="Arial" w:cs="Arial"/>
          <w:bCs/>
          <w:szCs w:val="24"/>
        </w:rPr>
        <w:t xml:space="preserve"> </w:t>
      </w:r>
      <w:r w:rsidR="00200F58" w:rsidRPr="00BE3B3E">
        <w:rPr>
          <w:rFonts w:ascii="Arial" w:hAnsi="Arial" w:cs="Arial"/>
          <w:bCs/>
          <w:szCs w:val="24"/>
        </w:rPr>
        <w:t xml:space="preserve">the view that most tenants recognise efforts being made by all the staff </w:t>
      </w:r>
      <w:r w:rsidR="00BB2E2D" w:rsidRPr="00BE3B3E">
        <w:rPr>
          <w:rFonts w:ascii="Arial" w:hAnsi="Arial" w:cs="Arial"/>
          <w:bCs/>
          <w:szCs w:val="24"/>
        </w:rPr>
        <w:t>and our contractors</w:t>
      </w:r>
      <w:r w:rsidR="00630CB0">
        <w:rPr>
          <w:rFonts w:ascii="Arial" w:hAnsi="Arial" w:cs="Arial"/>
          <w:bCs/>
          <w:szCs w:val="24"/>
        </w:rPr>
        <w:t xml:space="preserve"> which is an encouraging sign and </w:t>
      </w:r>
      <w:r w:rsidR="00630CB0" w:rsidRPr="00076F89">
        <w:rPr>
          <w:rFonts w:ascii="Arial" w:hAnsi="Arial" w:cs="Arial"/>
          <w:bCs/>
          <w:szCs w:val="24"/>
        </w:rPr>
        <w:t>helps motivate our staff teams</w:t>
      </w:r>
      <w:r w:rsidR="006901A7" w:rsidRPr="00076F89">
        <w:rPr>
          <w:rFonts w:ascii="Arial" w:hAnsi="Arial" w:cs="Arial"/>
          <w:bCs/>
          <w:szCs w:val="24"/>
        </w:rPr>
        <w:t>.</w:t>
      </w:r>
    </w:p>
    <w:p w14:paraId="221BC146" w14:textId="77777777" w:rsidR="00200F58" w:rsidRPr="00076F89" w:rsidRDefault="00200F58" w:rsidP="00200F58">
      <w:pPr>
        <w:pStyle w:val="ListParagraph"/>
        <w:ind w:left="567"/>
        <w:rPr>
          <w:rFonts w:ascii="Arial" w:hAnsi="Arial" w:cs="Arial"/>
          <w:bCs/>
          <w:szCs w:val="24"/>
        </w:rPr>
      </w:pPr>
    </w:p>
    <w:p w14:paraId="1DD26390" w14:textId="77777777" w:rsidR="00200F58" w:rsidRPr="00076F89" w:rsidRDefault="00200F58" w:rsidP="00200F58">
      <w:pPr>
        <w:pStyle w:val="ListParagraph"/>
        <w:numPr>
          <w:ilvl w:val="0"/>
          <w:numId w:val="1"/>
        </w:numPr>
        <w:ind w:left="567" w:hanging="567"/>
        <w:rPr>
          <w:rFonts w:ascii="Arial" w:hAnsi="Arial" w:cs="Arial"/>
          <w:b/>
          <w:szCs w:val="24"/>
          <w:u w:val="single"/>
        </w:rPr>
      </w:pPr>
      <w:r w:rsidRPr="00076F89">
        <w:rPr>
          <w:rFonts w:ascii="Arial" w:hAnsi="Arial" w:cs="Arial"/>
          <w:b/>
          <w:szCs w:val="24"/>
          <w:u w:val="single"/>
        </w:rPr>
        <w:t>LEARNING FROM COMPLAINTS AND FEEDBACK</w:t>
      </w:r>
    </w:p>
    <w:p w14:paraId="2B424994" w14:textId="77777777" w:rsidR="00200F58" w:rsidRPr="00583B5B" w:rsidRDefault="00200F58" w:rsidP="00200F58">
      <w:pPr>
        <w:ind w:left="567"/>
        <w:rPr>
          <w:rFonts w:ascii="Arial" w:hAnsi="Arial" w:cs="Arial"/>
          <w:szCs w:val="24"/>
        </w:rPr>
      </w:pPr>
    </w:p>
    <w:p w14:paraId="62CF3AD1" w14:textId="79BFADE5" w:rsidR="00CF748D" w:rsidRPr="00583B5B" w:rsidRDefault="00200F58" w:rsidP="00CF748D">
      <w:pPr>
        <w:ind w:left="567"/>
        <w:rPr>
          <w:rFonts w:ascii="Arial" w:hAnsi="Arial" w:cs="Arial"/>
          <w:szCs w:val="24"/>
        </w:rPr>
      </w:pPr>
      <w:r w:rsidRPr="00583B5B">
        <w:rPr>
          <w:rFonts w:ascii="Arial" w:hAnsi="Arial" w:cs="Arial"/>
          <w:szCs w:val="24"/>
        </w:rPr>
        <w:t>The Association welcomes both complaints and feedback as an opportunity to put things right and as an opportunity to revise or improve services so that the cause for complaint is less likely to recur</w:t>
      </w:r>
      <w:r w:rsidR="007D7F6A" w:rsidRPr="00583B5B">
        <w:rPr>
          <w:rFonts w:ascii="Arial" w:hAnsi="Arial" w:cs="Arial"/>
          <w:szCs w:val="24"/>
        </w:rPr>
        <w:t>.</w:t>
      </w:r>
    </w:p>
    <w:p w14:paraId="4F966A49" w14:textId="43104748" w:rsidR="00CF748D" w:rsidRPr="00583B5B" w:rsidRDefault="00CF748D" w:rsidP="00200F58">
      <w:pPr>
        <w:ind w:left="567"/>
        <w:rPr>
          <w:rFonts w:ascii="Arial" w:hAnsi="Arial" w:cs="Arial"/>
          <w:szCs w:val="24"/>
        </w:rPr>
      </w:pPr>
    </w:p>
    <w:p w14:paraId="20E061FB" w14:textId="254DD97D" w:rsidR="00CF626B" w:rsidRPr="00583B5B" w:rsidRDefault="00CF626B" w:rsidP="00200F58">
      <w:pPr>
        <w:ind w:left="567"/>
        <w:rPr>
          <w:rFonts w:ascii="Arial" w:hAnsi="Arial" w:cs="Arial"/>
          <w:szCs w:val="24"/>
        </w:rPr>
      </w:pPr>
      <w:r w:rsidRPr="00583B5B">
        <w:rPr>
          <w:rFonts w:ascii="Arial" w:hAnsi="Arial" w:cs="Arial"/>
          <w:szCs w:val="24"/>
        </w:rPr>
        <w:t>The table below summarises the number of learning opportunities identified from the total complaints received during the period.</w:t>
      </w:r>
    </w:p>
    <w:p w14:paraId="4AE2A065" w14:textId="77777777" w:rsidR="00CF626B" w:rsidRPr="00583B5B" w:rsidRDefault="00CF626B" w:rsidP="00200F58">
      <w:pPr>
        <w:ind w:left="567"/>
        <w:rPr>
          <w:rFonts w:ascii="Arial" w:hAnsi="Arial" w:cs="Arial"/>
          <w:szCs w:val="24"/>
        </w:rPr>
      </w:pPr>
    </w:p>
    <w:tbl>
      <w:tblPr>
        <w:tblStyle w:val="TableGrid"/>
        <w:tblW w:w="0" w:type="auto"/>
        <w:jc w:val="center"/>
        <w:tblLook w:val="04A0" w:firstRow="1" w:lastRow="0" w:firstColumn="1" w:lastColumn="0" w:noHBand="0" w:noVBand="1"/>
      </w:tblPr>
      <w:tblGrid>
        <w:gridCol w:w="2642"/>
        <w:gridCol w:w="1734"/>
        <w:gridCol w:w="1734"/>
        <w:gridCol w:w="1734"/>
      </w:tblGrid>
      <w:tr w:rsidR="00CF626B" w:rsidRPr="00583B5B" w14:paraId="08ED05BF" w14:textId="193B7848" w:rsidTr="002419F1">
        <w:trPr>
          <w:jc w:val="center"/>
        </w:trPr>
        <w:tc>
          <w:tcPr>
            <w:tcW w:w="2642" w:type="dxa"/>
            <w:shd w:val="clear" w:color="auto" w:fill="BFBFBF" w:themeFill="background1" w:themeFillShade="BF"/>
            <w:vAlign w:val="center"/>
          </w:tcPr>
          <w:p w14:paraId="0FB403D3" w14:textId="20AB473C" w:rsidR="00CF626B" w:rsidRPr="00583B5B" w:rsidRDefault="00F13EBE" w:rsidP="00D95C62">
            <w:pPr>
              <w:pStyle w:val="ListParagraph"/>
              <w:ind w:left="0"/>
              <w:jc w:val="center"/>
              <w:rPr>
                <w:rFonts w:ascii="Arial" w:hAnsi="Arial" w:cs="Arial"/>
                <w:b/>
                <w:sz w:val="24"/>
                <w:szCs w:val="24"/>
              </w:rPr>
            </w:pPr>
            <w:r w:rsidRPr="00583B5B">
              <w:rPr>
                <w:rFonts w:ascii="Arial" w:hAnsi="Arial" w:cs="Arial"/>
                <w:b/>
                <w:sz w:val="24"/>
                <w:szCs w:val="24"/>
              </w:rPr>
              <w:t>2024-25</w:t>
            </w:r>
          </w:p>
        </w:tc>
        <w:tc>
          <w:tcPr>
            <w:tcW w:w="1734" w:type="dxa"/>
            <w:shd w:val="clear" w:color="auto" w:fill="BFBFBF" w:themeFill="background1" w:themeFillShade="BF"/>
          </w:tcPr>
          <w:p w14:paraId="08037D5D" w14:textId="71477E4C" w:rsidR="00CF626B" w:rsidRPr="00583B5B" w:rsidRDefault="00CF626B" w:rsidP="00D95C62">
            <w:pPr>
              <w:pStyle w:val="ListParagraph"/>
              <w:ind w:left="0"/>
              <w:jc w:val="center"/>
              <w:rPr>
                <w:rFonts w:ascii="Arial" w:hAnsi="Arial" w:cs="Arial"/>
                <w:b/>
                <w:sz w:val="24"/>
                <w:szCs w:val="24"/>
              </w:rPr>
            </w:pPr>
            <w:r w:rsidRPr="00583B5B">
              <w:rPr>
                <w:rFonts w:ascii="Arial" w:hAnsi="Arial" w:cs="Arial"/>
                <w:b/>
                <w:sz w:val="24"/>
                <w:szCs w:val="24"/>
              </w:rPr>
              <w:t>Total Complaints</w:t>
            </w:r>
          </w:p>
        </w:tc>
        <w:tc>
          <w:tcPr>
            <w:tcW w:w="1734" w:type="dxa"/>
            <w:shd w:val="clear" w:color="auto" w:fill="BFBFBF" w:themeFill="background1" w:themeFillShade="BF"/>
          </w:tcPr>
          <w:p w14:paraId="13633140" w14:textId="5A7A9A7A" w:rsidR="00CF626B" w:rsidRPr="00583B5B" w:rsidRDefault="00F656EC" w:rsidP="00D95C62">
            <w:pPr>
              <w:pStyle w:val="ListParagraph"/>
              <w:ind w:left="0"/>
              <w:jc w:val="center"/>
              <w:rPr>
                <w:rFonts w:ascii="Arial" w:hAnsi="Arial" w:cs="Arial"/>
                <w:b/>
                <w:sz w:val="24"/>
                <w:szCs w:val="24"/>
              </w:rPr>
            </w:pPr>
            <w:r w:rsidRPr="00583B5B">
              <w:rPr>
                <w:rFonts w:ascii="Arial" w:hAnsi="Arial" w:cs="Arial"/>
                <w:b/>
                <w:sz w:val="24"/>
                <w:szCs w:val="24"/>
              </w:rPr>
              <w:t xml:space="preserve">Instances of </w:t>
            </w:r>
            <w:r w:rsidR="00CF626B" w:rsidRPr="00583B5B">
              <w:rPr>
                <w:rFonts w:ascii="Arial" w:hAnsi="Arial" w:cs="Arial"/>
                <w:b/>
                <w:sz w:val="24"/>
                <w:szCs w:val="24"/>
              </w:rPr>
              <w:t>Learning Identified</w:t>
            </w:r>
          </w:p>
        </w:tc>
        <w:tc>
          <w:tcPr>
            <w:tcW w:w="1734" w:type="dxa"/>
            <w:shd w:val="clear" w:color="auto" w:fill="BFBFBF" w:themeFill="background1" w:themeFillShade="BF"/>
          </w:tcPr>
          <w:p w14:paraId="1982109D" w14:textId="017C21B7" w:rsidR="00CF626B" w:rsidRPr="00583B5B" w:rsidRDefault="00CF626B" w:rsidP="00D95C62">
            <w:pPr>
              <w:pStyle w:val="ListParagraph"/>
              <w:ind w:left="0"/>
              <w:jc w:val="center"/>
              <w:rPr>
                <w:rFonts w:ascii="Arial" w:hAnsi="Arial" w:cs="Arial"/>
                <w:b/>
                <w:sz w:val="24"/>
                <w:szCs w:val="24"/>
              </w:rPr>
            </w:pPr>
            <w:r w:rsidRPr="00583B5B">
              <w:rPr>
                <w:rFonts w:ascii="Arial" w:hAnsi="Arial" w:cs="Arial"/>
                <w:b/>
                <w:sz w:val="24"/>
                <w:szCs w:val="24"/>
              </w:rPr>
              <w:t>%</w:t>
            </w:r>
          </w:p>
        </w:tc>
      </w:tr>
      <w:tr w:rsidR="00CF626B" w:rsidRPr="00583B5B" w14:paraId="54AC8F44" w14:textId="2DC42231" w:rsidTr="002419F1">
        <w:trPr>
          <w:jc w:val="center"/>
        </w:trPr>
        <w:tc>
          <w:tcPr>
            <w:tcW w:w="2642" w:type="dxa"/>
            <w:vAlign w:val="center"/>
          </w:tcPr>
          <w:p w14:paraId="08022344" w14:textId="77777777" w:rsidR="00CF626B" w:rsidRPr="00583B5B" w:rsidRDefault="00CF626B" w:rsidP="00D95C62">
            <w:pPr>
              <w:pStyle w:val="ListParagraph"/>
              <w:ind w:left="0"/>
              <w:jc w:val="center"/>
              <w:rPr>
                <w:rFonts w:ascii="Arial" w:hAnsi="Arial" w:cs="Arial"/>
                <w:b/>
                <w:sz w:val="24"/>
                <w:szCs w:val="24"/>
              </w:rPr>
            </w:pPr>
            <w:r w:rsidRPr="00583B5B">
              <w:rPr>
                <w:rFonts w:ascii="Arial" w:hAnsi="Arial" w:cs="Arial"/>
                <w:b/>
                <w:sz w:val="24"/>
                <w:szCs w:val="24"/>
              </w:rPr>
              <w:t>Q1</w:t>
            </w:r>
          </w:p>
        </w:tc>
        <w:tc>
          <w:tcPr>
            <w:tcW w:w="1734" w:type="dxa"/>
          </w:tcPr>
          <w:p w14:paraId="550FA7FE" w14:textId="77127992" w:rsidR="00CF626B" w:rsidRPr="00583B5B" w:rsidRDefault="00583B5B" w:rsidP="00D95C62">
            <w:pPr>
              <w:pStyle w:val="ListParagraph"/>
              <w:ind w:left="0"/>
              <w:jc w:val="center"/>
              <w:rPr>
                <w:rFonts w:ascii="Arial" w:hAnsi="Arial" w:cs="Arial"/>
                <w:bCs/>
                <w:sz w:val="24"/>
                <w:szCs w:val="24"/>
              </w:rPr>
            </w:pPr>
            <w:r w:rsidRPr="00583B5B">
              <w:rPr>
                <w:rFonts w:ascii="Arial" w:hAnsi="Arial" w:cs="Arial"/>
                <w:bCs/>
                <w:sz w:val="24"/>
                <w:szCs w:val="24"/>
              </w:rPr>
              <w:t>34</w:t>
            </w:r>
          </w:p>
        </w:tc>
        <w:tc>
          <w:tcPr>
            <w:tcW w:w="1734" w:type="dxa"/>
          </w:tcPr>
          <w:p w14:paraId="47290B44" w14:textId="0B9C1EAC" w:rsidR="00CF626B" w:rsidRPr="00583B5B" w:rsidRDefault="00583B5B" w:rsidP="00D95C62">
            <w:pPr>
              <w:pStyle w:val="ListParagraph"/>
              <w:ind w:left="0"/>
              <w:jc w:val="center"/>
              <w:rPr>
                <w:rFonts w:ascii="Arial" w:hAnsi="Arial" w:cs="Arial"/>
                <w:bCs/>
                <w:sz w:val="24"/>
                <w:szCs w:val="24"/>
              </w:rPr>
            </w:pPr>
            <w:r w:rsidRPr="00583B5B">
              <w:rPr>
                <w:rFonts w:ascii="Arial" w:hAnsi="Arial" w:cs="Arial"/>
                <w:bCs/>
                <w:sz w:val="24"/>
                <w:szCs w:val="24"/>
              </w:rPr>
              <w:t>15</w:t>
            </w:r>
          </w:p>
        </w:tc>
        <w:tc>
          <w:tcPr>
            <w:tcW w:w="1734" w:type="dxa"/>
          </w:tcPr>
          <w:p w14:paraId="58606C65" w14:textId="6C3C5BB7" w:rsidR="00CF626B" w:rsidRPr="00583B5B" w:rsidRDefault="00583B5B" w:rsidP="00D95C62">
            <w:pPr>
              <w:pStyle w:val="ListParagraph"/>
              <w:ind w:left="0"/>
              <w:jc w:val="center"/>
              <w:rPr>
                <w:rFonts w:ascii="Arial" w:hAnsi="Arial" w:cs="Arial"/>
                <w:bCs/>
                <w:sz w:val="24"/>
                <w:szCs w:val="24"/>
              </w:rPr>
            </w:pPr>
            <w:r w:rsidRPr="00583B5B">
              <w:rPr>
                <w:rFonts w:ascii="Arial" w:hAnsi="Arial" w:cs="Arial"/>
                <w:bCs/>
                <w:sz w:val="24"/>
                <w:szCs w:val="24"/>
              </w:rPr>
              <w:t>44.1%</w:t>
            </w:r>
          </w:p>
        </w:tc>
      </w:tr>
      <w:tr w:rsidR="00CF626B" w:rsidRPr="00583B5B" w14:paraId="13B15D6E" w14:textId="062B3A2F" w:rsidTr="002419F1">
        <w:trPr>
          <w:jc w:val="center"/>
        </w:trPr>
        <w:tc>
          <w:tcPr>
            <w:tcW w:w="2642" w:type="dxa"/>
            <w:vAlign w:val="center"/>
          </w:tcPr>
          <w:p w14:paraId="7B01154B" w14:textId="77777777" w:rsidR="00CF626B" w:rsidRPr="00583B5B" w:rsidRDefault="00CF626B" w:rsidP="00D95C62">
            <w:pPr>
              <w:pStyle w:val="ListParagraph"/>
              <w:ind w:left="0"/>
              <w:jc w:val="center"/>
              <w:rPr>
                <w:rFonts w:ascii="Arial" w:hAnsi="Arial" w:cs="Arial"/>
                <w:b/>
                <w:sz w:val="24"/>
                <w:szCs w:val="24"/>
              </w:rPr>
            </w:pPr>
            <w:r w:rsidRPr="00583B5B">
              <w:rPr>
                <w:rFonts w:ascii="Arial" w:hAnsi="Arial" w:cs="Arial"/>
                <w:b/>
                <w:sz w:val="24"/>
                <w:szCs w:val="24"/>
              </w:rPr>
              <w:t>Q2</w:t>
            </w:r>
          </w:p>
        </w:tc>
        <w:tc>
          <w:tcPr>
            <w:tcW w:w="1734" w:type="dxa"/>
          </w:tcPr>
          <w:p w14:paraId="739AC62B" w14:textId="5F27455C" w:rsidR="00CF626B" w:rsidRPr="00583B5B" w:rsidRDefault="00076F89" w:rsidP="00D95C62">
            <w:pPr>
              <w:pStyle w:val="ListParagraph"/>
              <w:ind w:left="0"/>
              <w:jc w:val="center"/>
              <w:rPr>
                <w:rFonts w:ascii="Arial" w:hAnsi="Arial" w:cs="Arial"/>
                <w:bCs/>
                <w:sz w:val="24"/>
                <w:szCs w:val="24"/>
              </w:rPr>
            </w:pPr>
            <w:r>
              <w:rPr>
                <w:rFonts w:ascii="Arial" w:hAnsi="Arial" w:cs="Arial"/>
                <w:bCs/>
                <w:sz w:val="24"/>
                <w:szCs w:val="24"/>
              </w:rPr>
              <w:t>42</w:t>
            </w:r>
          </w:p>
        </w:tc>
        <w:tc>
          <w:tcPr>
            <w:tcW w:w="1734" w:type="dxa"/>
          </w:tcPr>
          <w:p w14:paraId="3D01E5F0" w14:textId="1B87A8CB" w:rsidR="00CF626B" w:rsidRPr="00583B5B" w:rsidRDefault="00076F89" w:rsidP="00D95C62">
            <w:pPr>
              <w:pStyle w:val="ListParagraph"/>
              <w:ind w:left="0"/>
              <w:jc w:val="center"/>
              <w:rPr>
                <w:rFonts w:ascii="Arial" w:hAnsi="Arial" w:cs="Arial"/>
                <w:bCs/>
                <w:sz w:val="24"/>
                <w:szCs w:val="24"/>
              </w:rPr>
            </w:pPr>
            <w:r>
              <w:rPr>
                <w:rFonts w:ascii="Arial" w:hAnsi="Arial" w:cs="Arial"/>
                <w:bCs/>
                <w:sz w:val="24"/>
                <w:szCs w:val="24"/>
              </w:rPr>
              <w:t>20</w:t>
            </w:r>
          </w:p>
        </w:tc>
        <w:tc>
          <w:tcPr>
            <w:tcW w:w="1734" w:type="dxa"/>
          </w:tcPr>
          <w:p w14:paraId="4363C83C" w14:textId="556DA08D" w:rsidR="00CF626B" w:rsidRPr="00583B5B" w:rsidRDefault="00076F89" w:rsidP="00D95C62">
            <w:pPr>
              <w:pStyle w:val="ListParagraph"/>
              <w:ind w:left="0"/>
              <w:jc w:val="center"/>
              <w:rPr>
                <w:rFonts w:ascii="Arial" w:hAnsi="Arial" w:cs="Arial"/>
                <w:bCs/>
                <w:sz w:val="24"/>
                <w:szCs w:val="24"/>
              </w:rPr>
            </w:pPr>
            <w:r>
              <w:rPr>
                <w:rFonts w:ascii="Arial" w:hAnsi="Arial" w:cs="Arial"/>
                <w:bCs/>
                <w:sz w:val="24"/>
                <w:szCs w:val="24"/>
              </w:rPr>
              <w:t>47.6%</w:t>
            </w:r>
          </w:p>
        </w:tc>
      </w:tr>
      <w:tr w:rsidR="00CF626B" w:rsidRPr="00583B5B" w14:paraId="2F265620" w14:textId="6605713F" w:rsidTr="002419F1">
        <w:trPr>
          <w:jc w:val="center"/>
        </w:trPr>
        <w:tc>
          <w:tcPr>
            <w:tcW w:w="2642" w:type="dxa"/>
            <w:vAlign w:val="center"/>
          </w:tcPr>
          <w:p w14:paraId="1659F78A" w14:textId="77777777" w:rsidR="00CF626B" w:rsidRPr="00583B5B" w:rsidRDefault="00CF626B" w:rsidP="00D95C62">
            <w:pPr>
              <w:pStyle w:val="ListParagraph"/>
              <w:ind w:left="0"/>
              <w:jc w:val="center"/>
              <w:rPr>
                <w:rFonts w:ascii="Arial" w:hAnsi="Arial" w:cs="Arial"/>
                <w:b/>
                <w:sz w:val="24"/>
                <w:szCs w:val="24"/>
              </w:rPr>
            </w:pPr>
            <w:r w:rsidRPr="00583B5B">
              <w:rPr>
                <w:rFonts w:ascii="Arial" w:hAnsi="Arial" w:cs="Arial"/>
                <w:b/>
                <w:sz w:val="24"/>
                <w:szCs w:val="24"/>
              </w:rPr>
              <w:t>Q3</w:t>
            </w:r>
          </w:p>
        </w:tc>
        <w:tc>
          <w:tcPr>
            <w:tcW w:w="1734" w:type="dxa"/>
          </w:tcPr>
          <w:p w14:paraId="147A33EA" w14:textId="2F3B4220" w:rsidR="00CF626B" w:rsidRPr="00583B5B" w:rsidRDefault="007A46CA" w:rsidP="00D95C62">
            <w:pPr>
              <w:pStyle w:val="ListParagraph"/>
              <w:ind w:left="0"/>
              <w:jc w:val="center"/>
              <w:rPr>
                <w:rFonts w:ascii="Arial" w:hAnsi="Arial" w:cs="Arial"/>
                <w:bCs/>
                <w:sz w:val="24"/>
                <w:szCs w:val="24"/>
              </w:rPr>
            </w:pPr>
            <w:r>
              <w:rPr>
                <w:rFonts w:ascii="Arial" w:hAnsi="Arial" w:cs="Arial"/>
                <w:bCs/>
                <w:sz w:val="24"/>
                <w:szCs w:val="24"/>
              </w:rPr>
              <w:t>39</w:t>
            </w:r>
          </w:p>
        </w:tc>
        <w:tc>
          <w:tcPr>
            <w:tcW w:w="1734" w:type="dxa"/>
          </w:tcPr>
          <w:p w14:paraId="63A82957" w14:textId="0F64A144" w:rsidR="00CF626B" w:rsidRPr="00583B5B" w:rsidRDefault="007A46CA" w:rsidP="00D95C62">
            <w:pPr>
              <w:pStyle w:val="ListParagraph"/>
              <w:ind w:left="0"/>
              <w:jc w:val="center"/>
              <w:rPr>
                <w:rFonts w:ascii="Arial" w:hAnsi="Arial" w:cs="Arial"/>
                <w:bCs/>
                <w:sz w:val="24"/>
                <w:szCs w:val="24"/>
              </w:rPr>
            </w:pPr>
            <w:r>
              <w:rPr>
                <w:rFonts w:ascii="Arial" w:hAnsi="Arial" w:cs="Arial"/>
                <w:bCs/>
                <w:sz w:val="24"/>
                <w:szCs w:val="24"/>
              </w:rPr>
              <w:t>9</w:t>
            </w:r>
          </w:p>
        </w:tc>
        <w:tc>
          <w:tcPr>
            <w:tcW w:w="1734" w:type="dxa"/>
          </w:tcPr>
          <w:p w14:paraId="79D67AB7" w14:textId="11F5D5CB" w:rsidR="00CF626B" w:rsidRPr="00583B5B" w:rsidRDefault="007A46CA" w:rsidP="00D95C62">
            <w:pPr>
              <w:pStyle w:val="ListParagraph"/>
              <w:ind w:left="0"/>
              <w:jc w:val="center"/>
              <w:rPr>
                <w:rFonts w:ascii="Arial" w:hAnsi="Arial" w:cs="Arial"/>
                <w:bCs/>
                <w:sz w:val="24"/>
                <w:szCs w:val="24"/>
              </w:rPr>
            </w:pPr>
            <w:r>
              <w:rPr>
                <w:rFonts w:ascii="Arial" w:hAnsi="Arial" w:cs="Arial"/>
                <w:bCs/>
                <w:sz w:val="24"/>
                <w:szCs w:val="24"/>
              </w:rPr>
              <w:t>25%</w:t>
            </w:r>
          </w:p>
        </w:tc>
      </w:tr>
      <w:tr w:rsidR="00CF626B" w:rsidRPr="00583B5B" w14:paraId="086E11E5" w14:textId="342EAFD9" w:rsidTr="002419F1">
        <w:trPr>
          <w:jc w:val="center"/>
        </w:trPr>
        <w:tc>
          <w:tcPr>
            <w:tcW w:w="2642" w:type="dxa"/>
            <w:vAlign w:val="center"/>
          </w:tcPr>
          <w:p w14:paraId="6CC2D35A" w14:textId="77777777" w:rsidR="00CF626B" w:rsidRPr="00583B5B" w:rsidRDefault="00CF626B" w:rsidP="00D95C62">
            <w:pPr>
              <w:pStyle w:val="ListParagraph"/>
              <w:ind w:left="0"/>
              <w:jc w:val="center"/>
              <w:rPr>
                <w:rFonts w:ascii="Arial" w:hAnsi="Arial" w:cs="Arial"/>
                <w:b/>
                <w:sz w:val="24"/>
                <w:szCs w:val="24"/>
              </w:rPr>
            </w:pPr>
            <w:r w:rsidRPr="00583B5B">
              <w:rPr>
                <w:rFonts w:ascii="Arial" w:hAnsi="Arial" w:cs="Arial"/>
                <w:b/>
                <w:sz w:val="24"/>
                <w:szCs w:val="24"/>
              </w:rPr>
              <w:t>Q4</w:t>
            </w:r>
          </w:p>
        </w:tc>
        <w:tc>
          <w:tcPr>
            <w:tcW w:w="1734" w:type="dxa"/>
          </w:tcPr>
          <w:p w14:paraId="093319B6" w14:textId="2C7A0C4C" w:rsidR="008B0A4F" w:rsidRPr="00583B5B" w:rsidRDefault="008B0A4F" w:rsidP="008B0A4F">
            <w:pPr>
              <w:pStyle w:val="ListParagraph"/>
              <w:ind w:left="0"/>
              <w:jc w:val="center"/>
              <w:rPr>
                <w:rFonts w:ascii="Arial" w:hAnsi="Arial" w:cs="Arial"/>
                <w:bCs/>
                <w:sz w:val="24"/>
                <w:szCs w:val="24"/>
              </w:rPr>
            </w:pPr>
          </w:p>
        </w:tc>
        <w:tc>
          <w:tcPr>
            <w:tcW w:w="1734" w:type="dxa"/>
          </w:tcPr>
          <w:p w14:paraId="4B2AC50E" w14:textId="65D4B6EA" w:rsidR="00CF626B" w:rsidRPr="00583B5B" w:rsidRDefault="00CF626B" w:rsidP="00D95C62">
            <w:pPr>
              <w:pStyle w:val="ListParagraph"/>
              <w:ind w:left="0"/>
              <w:jc w:val="center"/>
              <w:rPr>
                <w:rFonts w:ascii="Arial" w:hAnsi="Arial" w:cs="Arial"/>
                <w:bCs/>
                <w:sz w:val="24"/>
                <w:szCs w:val="24"/>
              </w:rPr>
            </w:pPr>
          </w:p>
        </w:tc>
        <w:tc>
          <w:tcPr>
            <w:tcW w:w="1734" w:type="dxa"/>
          </w:tcPr>
          <w:p w14:paraId="7E1CEAED" w14:textId="5C37DAE0" w:rsidR="00CF626B" w:rsidRPr="00583B5B" w:rsidRDefault="00CF626B" w:rsidP="00D95C62">
            <w:pPr>
              <w:pStyle w:val="ListParagraph"/>
              <w:ind w:left="0"/>
              <w:jc w:val="center"/>
              <w:rPr>
                <w:rFonts w:ascii="Arial" w:hAnsi="Arial" w:cs="Arial"/>
                <w:bCs/>
                <w:sz w:val="24"/>
                <w:szCs w:val="24"/>
              </w:rPr>
            </w:pPr>
          </w:p>
        </w:tc>
      </w:tr>
      <w:tr w:rsidR="00CF626B" w:rsidRPr="00583B5B" w14:paraId="34200D7E" w14:textId="366D70CC" w:rsidTr="002419F1">
        <w:trPr>
          <w:jc w:val="center"/>
        </w:trPr>
        <w:tc>
          <w:tcPr>
            <w:tcW w:w="2642" w:type="dxa"/>
            <w:vAlign w:val="center"/>
          </w:tcPr>
          <w:p w14:paraId="01B12934" w14:textId="320F572E" w:rsidR="00CF626B" w:rsidRPr="00583B5B" w:rsidRDefault="00F13EBE" w:rsidP="00D95C62">
            <w:pPr>
              <w:pStyle w:val="ListParagraph"/>
              <w:ind w:left="0"/>
              <w:jc w:val="center"/>
              <w:rPr>
                <w:rFonts w:ascii="Arial" w:hAnsi="Arial" w:cs="Arial"/>
                <w:b/>
                <w:sz w:val="24"/>
                <w:szCs w:val="24"/>
              </w:rPr>
            </w:pPr>
            <w:r w:rsidRPr="00583B5B">
              <w:rPr>
                <w:rFonts w:ascii="Arial" w:hAnsi="Arial" w:cs="Arial"/>
                <w:b/>
                <w:sz w:val="24"/>
                <w:szCs w:val="24"/>
              </w:rPr>
              <w:t>2024-25</w:t>
            </w:r>
          </w:p>
        </w:tc>
        <w:tc>
          <w:tcPr>
            <w:tcW w:w="1734" w:type="dxa"/>
          </w:tcPr>
          <w:p w14:paraId="04866D69" w14:textId="24F4016A" w:rsidR="00CF626B" w:rsidRPr="00583B5B" w:rsidRDefault="007A46CA" w:rsidP="00AF1DAD">
            <w:pPr>
              <w:pStyle w:val="ListParagraph"/>
              <w:ind w:left="0"/>
              <w:jc w:val="center"/>
              <w:rPr>
                <w:rFonts w:ascii="Arial" w:hAnsi="Arial" w:cs="Arial"/>
                <w:b/>
                <w:sz w:val="24"/>
                <w:szCs w:val="24"/>
              </w:rPr>
            </w:pPr>
            <w:r>
              <w:rPr>
                <w:rFonts w:ascii="Arial" w:hAnsi="Arial" w:cs="Arial"/>
                <w:b/>
                <w:sz w:val="24"/>
                <w:szCs w:val="24"/>
              </w:rPr>
              <w:t>115</w:t>
            </w:r>
          </w:p>
        </w:tc>
        <w:tc>
          <w:tcPr>
            <w:tcW w:w="1734" w:type="dxa"/>
          </w:tcPr>
          <w:p w14:paraId="3B0007BA" w14:textId="3DF54BFF" w:rsidR="00CF626B" w:rsidRPr="00583B5B" w:rsidRDefault="007A46CA" w:rsidP="00D95C62">
            <w:pPr>
              <w:pStyle w:val="ListParagraph"/>
              <w:ind w:left="0"/>
              <w:jc w:val="center"/>
              <w:rPr>
                <w:rFonts w:ascii="Arial" w:hAnsi="Arial" w:cs="Arial"/>
                <w:b/>
                <w:sz w:val="24"/>
                <w:szCs w:val="24"/>
              </w:rPr>
            </w:pPr>
            <w:r>
              <w:rPr>
                <w:rFonts w:ascii="Arial" w:hAnsi="Arial" w:cs="Arial"/>
                <w:b/>
                <w:sz w:val="24"/>
                <w:szCs w:val="24"/>
              </w:rPr>
              <w:t>44</w:t>
            </w:r>
          </w:p>
        </w:tc>
        <w:tc>
          <w:tcPr>
            <w:tcW w:w="1734" w:type="dxa"/>
          </w:tcPr>
          <w:p w14:paraId="1F8D0EC3" w14:textId="07AED631" w:rsidR="00CF626B" w:rsidRPr="00583B5B" w:rsidRDefault="007A46CA" w:rsidP="00D95C62">
            <w:pPr>
              <w:pStyle w:val="ListParagraph"/>
              <w:ind w:left="0"/>
              <w:jc w:val="center"/>
              <w:rPr>
                <w:rFonts w:ascii="Arial" w:hAnsi="Arial" w:cs="Arial"/>
                <w:b/>
                <w:sz w:val="24"/>
                <w:szCs w:val="24"/>
              </w:rPr>
            </w:pPr>
            <w:r>
              <w:rPr>
                <w:rFonts w:ascii="Arial" w:hAnsi="Arial" w:cs="Arial"/>
                <w:b/>
                <w:sz w:val="24"/>
                <w:szCs w:val="24"/>
              </w:rPr>
              <w:t>38.3</w:t>
            </w:r>
            <w:r w:rsidR="00076F89">
              <w:rPr>
                <w:rFonts w:ascii="Arial" w:hAnsi="Arial" w:cs="Arial"/>
                <w:b/>
                <w:sz w:val="24"/>
                <w:szCs w:val="24"/>
              </w:rPr>
              <w:t>%</w:t>
            </w:r>
          </w:p>
        </w:tc>
      </w:tr>
    </w:tbl>
    <w:p w14:paraId="6CB38542" w14:textId="3E0C1D94" w:rsidR="00CF626B" w:rsidRPr="00583B5B" w:rsidRDefault="00CF626B" w:rsidP="00200F58">
      <w:pPr>
        <w:ind w:left="567"/>
        <w:rPr>
          <w:rFonts w:ascii="Arial" w:hAnsi="Arial" w:cs="Arial"/>
          <w:szCs w:val="24"/>
        </w:rPr>
      </w:pPr>
    </w:p>
    <w:p w14:paraId="0A964702" w14:textId="35846CFD" w:rsidR="00CF626B" w:rsidRPr="00583B5B" w:rsidRDefault="00CF626B" w:rsidP="00CF626B">
      <w:pPr>
        <w:ind w:left="567"/>
        <w:rPr>
          <w:rFonts w:ascii="Arial" w:hAnsi="Arial" w:cs="Arial"/>
          <w:szCs w:val="24"/>
        </w:rPr>
      </w:pPr>
      <w:r w:rsidRPr="00583B5B">
        <w:rPr>
          <w:rFonts w:ascii="Arial" w:hAnsi="Arial" w:cs="Arial"/>
          <w:szCs w:val="24"/>
        </w:rPr>
        <w:t>During Q</w:t>
      </w:r>
      <w:r w:rsidR="007A46CA">
        <w:rPr>
          <w:rFonts w:ascii="Arial" w:hAnsi="Arial" w:cs="Arial"/>
          <w:szCs w:val="24"/>
        </w:rPr>
        <w:t>3</w:t>
      </w:r>
      <w:r w:rsidRPr="00583B5B">
        <w:rPr>
          <w:rFonts w:ascii="Arial" w:hAnsi="Arial" w:cs="Arial"/>
          <w:szCs w:val="24"/>
        </w:rPr>
        <w:t xml:space="preserve">, the </w:t>
      </w:r>
      <w:r w:rsidR="00076F89">
        <w:rPr>
          <w:rFonts w:ascii="Arial" w:hAnsi="Arial" w:cs="Arial"/>
          <w:szCs w:val="24"/>
        </w:rPr>
        <w:t xml:space="preserve">main </w:t>
      </w:r>
      <w:r w:rsidRPr="00583B5B">
        <w:rPr>
          <w:rFonts w:ascii="Arial" w:hAnsi="Arial" w:cs="Arial"/>
          <w:szCs w:val="24"/>
        </w:rPr>
        <w:t>following themes emerged:</w:t>
      </w:r>
    </w:p>
    <w:p w14:paraId="422ECD9A" w14:textId="77777777" w:rsidR="00CF626B" w:rsidRPr="004B4022" w:rsidRDefault="00CF626B" w:rsidP="00CF626B">
      <w:pPr>
        <w:ind w:left="567"/>
        <w:rPr>
          <w:rFonts w:ascii="Arial" w:hAnsi="Arial" w:cs="Arial"/>
          <w:szCs w:val="24"/>
        </w:rPr>
      </w:pPr>
    </w:p>
    <w:p w14:paraId="7371ABC6" w14:textId="77777777" w:rsidR="007A46CA" w:rsidRPr="005D195D" w:rsidRDefault="007A46CA" w:rsidP="00CF626B">
      <w:pPr>
        <w:pStyle w:val="ListParagraph"/>
        <w:numPr>
          <w:ilvl w:val="0"/>
          <w:numId w:val="9"/>
        </w:numPr>
        <w:rPr>
          <w:rFonts w:ascii="Arial" w:hAnsi="Arial" w:cs="Arial"/>
          <w:szCs w:val="24"/>
        </w:rPr>
      </w:pPr>
      <w:r w:rsidRPr="005D195D">
        <w:rPr>
          <w:rFonts w:ascii="Arial" w:hAnsi="Arial" w:cs="Arial"/>
          <w:szCs w:val="24"/>
        </w:rPr>
        <w:t>Ensure we maintain accurate records (Staff) – 1 instance</w:t>
      </w:r>
    </w:p>
    <w:p w14:paraId="2177EE6B" w14:textId="4E5B695D" w:rsidR="00CD04F1" w:rsidRPr="005D195D" w:rsidRDefault="00583B5B" w:rsidP="005D195D">
      <w:pPr>
        <w:pStyle w:val="ListParagraph"/>
        <w:numPr>
          <w:ilvl w:val="0"/>
          <w:numId w:val="9"/>
        </w:numPr>
        <w:rPr>
          <w:rFonts w:ascii="Arial" w:hAnsi="Arial" w:cs="Arial"/>
          <w:szCs w:val="24"/>
        </w:rPr>
      </w:pPr>
      <w:r w:rsidRPr="005D195D">
        <w:rPr>
          <w:rFonts w:ascii="Arial" w:hAnsi="Arial" w:cs="Arial"/>
          <w:szCs w:val="24"/>
        </w:rPr>
        <w:t>K</w:t>
      </w:r>
      <w:r w:rsidR="00347A4D" w:rsidRPr="005D195D">
        <w:rPr>
          <w:rFonts w:ascii="Arial" w:hAnsi="Arial" w:cs="Arial"/>
          <w:szCs w:val="24"/>
        </w:rPr>
        <w:t>eeping tenants informed</w:t>
      </w:r>
      <w:r w:rsidR="00CF626B" w:rsidRPr="005D195D">
        <w:rPr>
          <w:rFonts w:ascii="Arial" w:hAnsi="Arial" w:cs="Arial"/>
          <w:szCs w:val="24"/>
        </w:rPr>
        <w:t xml:space="preserve"> (</w:t>
      </w:r>
      <w:r w:rsidR="00347A4D" w:rsidRPr="005D195D">
        <w:rPr>
          <w:rFonts w:ascii="Arial" w:hAnsi="Arial" w:cs="Arial"/>
          <w:szCs w:val="24"/>
        </w:rPr>
        <w:t>contractors</w:t>
      </w:r>
      <w:r w:rsidR="00A97DF8" w:rsidRPr="005D195D">
        <w:rPr>
          <w:rFonts w:ascii="Arial" w:hAnsi="Arial" w:cs="Arial"/>
          <w:szCs w:val="24"/>
        </w:rPr>
        <w:t>)</w:t>
      </w:r>
      <w:r w:rsidR="00CF626B" w:rsidRPr="005D195D">
        <w:rPr>
          <w:rFonts w:ascii="Arial" w:hAnsi="Arial" w:cs="Arial"/>
          <w:szCs w:val="24"/>
        </w:rPr>
        <w:t xml:space="preserve"> </w:t>
      </w:r>
      <w:r w:rsidR="00347A4D" w:rsidRPr="005D195D">
        <w:rPr>
          <w:rFonts w:ascii="Arial" w:hAnsi="Arial" w:cs="Arial"/>
          <w:szCs w:val="24"/>
        </w:rPr>
        <w:t>–</w:t>
      </w:r>
      <w:r w:rsidR="00076F89" w:rsidRPr="005D195D">
        <w:rPr>
          <w:rFonts w:ascii="Arial" w:hAnsi="Arial" w:cs="Arial"/>
          <w:szCs w:val="24"/>
        </w:rPr>
        <w:t xml:space="preserve"> 1 instance</w:t>
      </w:r>
    </w:p>
    <w:p w14:paraId="437AF493" w14:textId="56666D96" w:rsidR="00583B5B" w:rsidRPr="005D195D" w:rsidRDefault="00583B5B" w:rsidP="00347A4D">
      <w:pPr>
        <w:pStyle w:val="ListParagraph"/>
        <w:numPr>
          <w:ilvl w:val="0"/>
          <w:numId w:val="9"/>
        </w:numPr>
        <w:rPr>
          <w:rFonts w:ascii="Arial" w:hAnsi="Arial" w:cs="Arial"/>
          <w:szCs w:val="24"/>
        </w:rPr>
      </w:pPr>
      <w:r w:rsidRPr="005D195D">
        <w:rPr>
          <w:rFonts w:ascii="Arial" w:hAnsi="Arial" w:cs="Arial"/>
          <w:szCs w:val="24"/>
        </w:rPr>
        <w:t xml:space="preserve">Adhere to timescales (contractors) </w:t>
      </w:r>
      <w:r w:rsidR="000357A2" w:rsidRPr="005D195D">
        <w:rPr>
          <w:rFonts w:ascii="Arial" w:hAnsi="Arial" w:cs="Arial"/>
          <w:szCs w:val="24"/>
        </w:rPr>
        <w:t>–</w:t>
      </w:r>
      <w:r w:rsidRPr="005D195D">
        <w:rPr>
          <w:rFonts w:ascii="Arial" w:hAnsi="Arial" w:cs="Arial"/>
          <w:szCs w:val="24"/>
        </w:rPr>
        <w:t xml:space="preserve"> </w:t>
      </w:r>
      <w:r w:rsidR="005D195D" w:rsidRPr="005D195D">
        <w:rPr>
          <w:rFonts w:ascii="Arial" w:hAnsi="Arial" w:cs="Arial"/>
          <w:szCs w:val="24"/>
        </w:rPr>
        <w:t>3</w:t>
      </w:r>
      <w:r w:rsidR="00076F89" w:rsidRPr="005D195D">
        <w:rPr>
          <w:rFonts w:ascii="Arial" w:hAnsi="Arial" w:cs="Arial"/>
          <w:szCs w:val="24"/>
        </w:rPr>
        <w:t xml:space="preserve"> instances</w:t>
      </w:r>
    </w:p>
    <w:p w14:paraId="223BBA2F" w14:textId="6A0FD5DB" w:rsidR="00845C1F" w:rsidRPr="005D195D" w:rsidRDefault="00845C1F" w:rsidP="00347A4D">
      <w:pPr>
        <w:pStyle w:val="ListParagraph"/>
        <w:numPr>
          <w:ilvl w:val="0"/>
          <w:numId w:val="9"/>
        </w:numPr>
        <w:rPr>
          <w:rFonts w:ascii="Arial" w:hAnsi="Arial" w:cs="Arial"/>
          <w:szCs w:val="24"/>
        </w:rPr>
      </w:pPr>
      <w:r w:rsidRPr="005D195D">
        <w:rPr>
          <w:rFonts w:ascii="Arial" w:hAnsi="Arial" w:cs="Arial"/>
          <w:szCs w:val="24"/>
        </w:rPr>
        <w:t>Carry out repairs as instructed</w:t>
      </w:r>
      <w:r w:rsidR="008B0A4F" w:rsidRPr="005D195D">
        <w:rPr>
          <w:rFonts w:ascii="Arial" w:hAnsi="Arial" w:cs="Arial"/>
          <w:szCs w:val="24"/>
        </w:rPr>
        <w:t xml:space="preserve"> / adhere to specification</w:t>
      </w:r>
      <w:r w:rsidRPr="005D195D">
        <w:rPr>
          <w:rFonts w:ascii="Arial" w:hAnsi="Arial" w:cs="Arial"/>
          <w:szCs w:val="24"/>
        </w:rPr>
        <w:t xml:space="preserve"> (contractors) – </w:t>
      </w:r>
      <w:r w:rsidR="00076F89" w:rsidRPr="005D195D">
        <w:rPr>
          <w:rFonts w:ascii="Arial" w:hAnsi="Arial" w:cs="Arial"/>
          <w:szCs w:val="24"/>
        </w:rPr>
        <w:t>3 instances</w:t>
      </w:r>
    </w:p>
    <w:p w14:paraId="50E0263F" w14:textId="6A679363" w:rsidR="0026160B" w:rsidRPr="005D195D" w:rsidRDefault="00076F89" w:rsidP="00347A4D">
      <w:pPr>
        <w:pStyle w:val="ListParagraph"/>
        <w:numPr>
          <w:ilvl w:val="0"/>
          <w:numId w:val="9"/>
        </w:numPr>
        <w:rPr>
          <w:rFonts w:ascii="Arial" w:hAnsi="Arial" w:cs="Arial"/>
          <w:szCs w:val="24"/>
        </w:rPr>
      </w:pPr>
      <w:r w:rsidRPr="005D195D">
        <w:rPr>
          <w:rFonts w:ascii="Arial" w:hAnsi="Arial" w:cs="Arial"/>
          <w:szCs w:val="24"/>
        </w:rPr>
        <w:t xml:space="preserve">To </w:t>
      </w:r>
      <w:r w:rsidR="005D195D" w:rsidRPr="005D195D">
        <w:rPr>
          <w:rFonts w:ascii="Arial" w:hAnsi="Arial" w:cs="Arial"/>
          <w:szCs w:val="24"/>
        </w:rPr>
        <w:t xml:space="preserve">provide OVHA with correct information </w:t>
      </w:r>
      <w:r w:rsidRPr="005D195D">
        <w:rPr>
          <w:rFonts w:ascii="Arial" w:hAnsi="Arial" w:cs="Arial"/>
          <w:szCs w:val="24"/>
        </w:rPr>
        <w:t xml:space="preserve">(contractors) – </w:t>
      </w:r>
      <w:r w:rsidR="005D195D" w:rsidRPr="005D195D">
        <w:rPr>
          <w:rFonts w:ascii="Arial" w:hAnsi="Arial" w:cs="Arial"/>
          <w:szCs w:val="24"/>
        </w:rPr>
        <w:t>1</w:t>
      </w:r>
      <w:r w:rsidRPr="005D195D">
        <w:rPr>
          <w:rFonts w:ascii="Arial" w:hAnsi="Arial" w:cs="Arial"/>
          <w:szCs w:val="24"/>
        </w:rPr>
        <w:t xml:space="preserve"> instance</w:t>
      </w:r>
    </w:p>
    <w:p w14:paraId="25A90B6A" w14:textId="77777777" w:rsidR="00AF1DAD" w:rsidRPr="00583B5B" w:rsidRDefault="00AF1DAD" w:rsidP="00CF626B">
      <w:pPr>
        <w:ind w:left="567"/>
        <w:rPr>
          <w:rFonts w:ascii="Arial" w:hAnsi="Arial" w:cs="Arial"/>
          <w:szCs w:val="24"/>
        </w:rPr>
      </w:pPr>
    </w:p>
    <w:p w14:paraId="68BA2183" w14:textId="608A2326" w:rsidR="00224344" w:rsidRPr="00AF1DAD" w:rsidRDefault="00CF626B" w:rsidP="00CF626B">
      <w:pPr>
        <w:ind w:left="567"/>
        <w:rPr>
          <w:rFonts w:ascii="Arial" w:hAnsi="Arial" w:cs="Arial"/>
          <w:szCs w:val="24"/>
        </w:rPr>
      </w:pPr>
      <w:r w:rsidRPr="00583B5B">
        <w:rPr>
          <w:rFonts w:ascii="Arial" w:hAnsi="Arial" w:cs="Arial"/>
          <w:szCs w:val="24"/>
        </w:rPr>
        <w:t>During Q</w:t>
      </w:r>
      <w:r w:rsidR="005D195D">
        <w:rPr>
          <w:rFonts w:ascii="Arial" w:hAnsi="Arial" w:cs="Arial"/>
          <w:szCs w:val="24"/>
        </w:rPr>
        <w:t>3</w:t>
      </w:r>
      <w:r w:rsidR="00630CB0" w:rsidRPr="00583B5B">
        <w:rPr>
          <w:rFonts w:ascii="Arial" w:hAnsi="Arial" w:cs="Arial"/>
          <w:szCs w:val="24"/>
        </w:rPr>
        <w:t xml:space="preserve"> </w:t>
      </w:r>
      <w:r w:rsidRPr="00583B5B">
        <w:rPr>
          <w:rFonts w:ascii="Arial" w:hAnsi="Arial" w:cs="Arial"/>
          <w:szCs w:val="24"/>
        </w:rPr>
        <w:t xml:space="preserve">and in all cases, </w:t>
      </w:r>
      <w:r w:rsidR="00137FC1" w:rsidRPr="00583B5B">
        <w:rPr>
          <w:rFonts w:ascii="Arial" w:hAnsi="Arial" w:cs="Arial"/>
          <w:szCs w:val="24"/>
        </w:rPr>
        <w:t xml:space="preserve">the </w:t>
      </w:r>
      <w:r w:rsidRPr="00583B5B">
        <w:rPr>
          <w:rFonts w:ascii="Arial" w:hAnsi="Arial" w:cs="Arial"/>
          <w:szCs w:val="24"/>
        </w:rPr>
        <w:t>Association’s standards and expectations</w:t>
      </w:r>
      <w:r w:rsidR="00137FC1" w:rsidRPr="00583B5B">
        <w:rPr>
          <w:rFonts w:ascii="Arial" w:hAnsi="Arial" w:cs="Arial"/>
          <w:szCs w:val="24"/>
        </w:rPr>
        <w:t xml:space="preserve"> have been discussed individually and at meetings</w:t>
      </w:r>
      <w:r w:rsidR="00AF1DAD" w:rsidRPr="00583B5B">
        <w:rPr>
          <w:rFonts w:ascii="Arial" w:hAnsi="Arial" w:cs="Arial"/>
          <w:szCs w:val="24"/>
        </w:rPr>
        <w:t xml:space="preserve"> with</w:t>
      </w:r>
      <w:r w:rsidR="00B234B7" w:rsidRPr="00583B5B">
        <w:rPr>
          <w:rFonts w:ascii="Arial" w:hAnsi="Arial" w:cs="Arial"/>
          <w:szCs w:val="24"/>
        </w:rPr>
        <w:t xml:space="preserve"> both </w:t>
      </w:r>
      <w:r w:rsidR="00AF1DAD" w:rsidRPr="00583B5B">
        <w:rPr>
          <w:rFonts w:ascii="Arial" w:hAnsi="Arial" w:cs="Arial"/>
          <w:szCs w:val="24"/>
        </w:rPr>
        <w:t xml:space="preserve">the contractors </w:t>
      </w:r>
      <w:r w:rsidR="00B234B7" w:rsidRPr="00583B5B">
        <w:rPr>
          <w:rFonts w:ascii="Arial" w:hAnsi="Arial" w:cs="Arial"/>
          <w:szCs w:val="24"/>
        </w:rPr>
        <w:t xml:space="preserve">and staff </w:t>
      </w:r>
      <w:r w:rsidR="00AF1DAD" w:rsidRPr="00583B5B">
        <w:rPr>
          <w:rFonts w:ascii="Arial" w:hAnsi="Arial" w:cs="Arial"/>
          <w:szCs w:val="24"/>
        </w:rPr>
        <w:t>concerned</w:t>
      </w:r>
      <w:r w:rsidRPr="00583B5B">
        <w:rPr>
          <w:rFonts w:ascii="Arial" w:hAnsi="Arial" w:cs="Arial"/>
          <w:szCs w:val="24"/>
        </w:rPr>
        <w:t>.</w:t>
      </w:r>
      <w:r w:rsidR="005D195D">
        <w:rPr>
          <w:rFonts w:ascii="Arial" w:hAnsi="Arial" w:cs="Arial"/>
          <w:szCs w:val="24"/>
        </w:rPr>
        <w:t xml:space="preserve"> In relation to the staff issue, this was a minor incident and was resolved at the time.</w:t>
      </w:r>
    </w:p>
    <w:p w14:paraId="4F6991C7" w14:textId="200A4CEC" w:rsidR="00CF626B" w:rsidRPr="004656B7" w:rsidRDefault="00CF626B" w:rsidP="00200F58">
      <w:pPr>
        <w:ind w:left="567"/>
        <w:rPr>
          <w:rFonts w:ascii="Arial" w:hAnsi="Arial" w:cs="Arial"/>
          <w:szCs w:val="24"/>
        </w:rPr>
      </w:pPr>
    </w:p>
    <w:p w14:paraId="409E108B" w14:textId="77777777" w:rsidR="00200F58" w:rsidRPr="004A4101" w:rsidRDefault="00200F58" w:rsidP="00200F58">
      <w:pPr>
        <w:pStyle w:val="ListParagraph"/>
        <w:numPr>
          <w:ilvl w:val="0"/>
          <w:numId w:val="1"/>
        </w:numPr>
        <w:ind w:left="567" w:hanging="567"/>
        <w:rPr>
          <w:rFonts w:ascii="Arial" w:hAnsi="Arial" w:cs="Arial"/>
          <w:b/>
          <w:szCs w:val="24"/>
          <w:u w:val="single"/>
        </w:rPr>
      </w:pPr>
      <w:r w:rsidRPr="004A4101">
        <w:rPr>
          <w:rFonts w:ascii="Arial" w:hAnsi="Arial" w:cs="Arial"/>
          <w:b/>
          <w:szCs w:val="24"/>
          <w:u w:val="single"/>
        </w:rPr>
        <w:t>RISK ASSESSMENT</w:t>
      </w:r>
    </w:p>
    <w:p w14:paraId="1EC76E2E" w14:textId="77777777" w:rsidR="00B5003C" w:rsidRDefault="00B5003C" w:rsidP="00AE6ECF">
      <w:pPr>
        <w:ind w:left="567"/>
        <w:rPr>
          <w:rFonts w:ascii="Arial" w:hAnsi="Arial" w:cs="Arial"/>
          <w:szCs w:val="24"/>
        </w:rPr>
      </w:pPr>
    </w:p>
    <w:p w14:paraId="3F817119" w14:textId="01A83018" w:rsidR="00AE6ECF" w:rsidRPr="00AE6ECF" w:rsidRDefault="00200F58" w:rsidP="00AE6ECF">
      <w:pPr>
        <w:ind w:left="567"/>
        <w:rPr>
          <w:rFonts w:ascii="Arial" w:hAnsi="Arial" w:cs="Arial"/>
          <w:szCs w:val="24"/>
        </w:rPr>
      </w:pPr>
      <w:r w:rsidRPr="004A4101">
        <w:rPr>
          <w:rFonts w:ascii="Arial" w:hAnsi="Arial" w:cs="Arial"/>
          <w:szCs w:val="24"/>
        </w:rPr>
        <w:t xml:space="preserve">The </w:t>
      </w:r>
      <w:r w:rsidR="00AE6ECF" w:rsidRPr="00AE6ECF">
        <w:rPr>
          <w:rFonts w:ascii="Arial" w:hAnsi="Arial" w:cs="Arial"/>
          <w:szCs w:val="24"/>
        </w:rPr>
        <w:t>following risk map is based on the relevant corporate governance risk map which is currently used to inform the Associations Strategic Risk Register.</w:t>
      </w:r>
    </w:p>
    <w:p w14:paraId="483658CB" w14:textId="77777777" w:rsidR="00A624CA" w:rsidRDefault="00A624CA" w:rsidP="00200F58">
      <w:pPr>
        <w:ind w:left="567"/>
        <w:jc w:val="both"/>
        <w:rPr>
          <w:rFonts w:ascii="Arial" w:hAnsi="Arial" w:cs="Arial"/>
          <w:szCs w:val="24"/>
        </w:rPr>
      </w:pPr>
    </w:p>
    <w:p w14:paraId="1B45B246" w14:textId="77777777" w:rsidR="005D195D" w:rsidRDefault="005D195D" w:rsidP="00200F58">
      <w:pPr>
        <w:ind w:left="567"/>
        <w:jc w:val="both"/>
        <w:rPr>
          <w:rFonts w:ascii="Arial" w:hAnsi="Arial" w:cs="Arial"/>
          <w:szCs w:val="24"/>
        </w:rPr>
      </w:pPr>
    </w:p>
    <w:p w14:paraId="11D5D153" w14:textId="77777777" w:rsidR="005D195D" w:rsidRDefault="005D195D" w:rsidP="00200F58">
      <w:pPr>
        <w:ind w:left="567"/>
        <w:jc w:val="both"/>
        <w:rPr>
          <w:rFonts w:ascii="Arial" w:hAnsi="Arial" w:cs="Arial"/>
          <w:szCs w:val="24"/>
        </w:rPr>
      </w:pPr>
    </w:p>
    <w:p w14:paraId="7ABD959D" w14:textId="77777777" w:rsidR="005D195D" w:rsidRDefault="005D195D" w:rsidP="00200F58">
      <w:pPr>
        <w:ind w:left="567"/>
        <w:jc w:val="both"/>
        <w:rPr>
          <w:rFonts w:ascii="Arial" w:hAnsi="Arial" w:cs="Arial"/>
          <w:szCs w:val="24"/>
        </w:rPr>
      </w:pPr>
    </w:p>
    <w:p w14:paraId="61C4BA90" w14:textId="77777777" w:rsidR="005D195D" w:rsidRDefault="005D195D" w:rsidP="00200F58">
      <w:pPr>
        <w:ind w:left="567"/>
        <w:jc w:val="both"/>
        <w:rPr>
          <w:rFonts w:ascii="Arial" w:hAnsi="Arial" w:cs="Arial"/>
          <w:szCs w:val="24"/>
        </w:rPr>
      </w:pPr>
    </w:p>
    <w:p w14:paraId="5A37C3C3" w14:textId="77777777" w:rsidR="005D195D" w:rsidRDefault="005D195D" w:rsidP="00200F58">
      <w:pPr>
        <w:ind w:left="567"/>
        <w:jc w:val="both"/>
        <w:rPr>
          <w:rFonts w:ascii="Arial" w:hAnsi="Arial" w:cs="Arial"/>
          <w:szCs w:val="24"/>
        </w:rPr>
      </w:pPr>
    </w:p>
    <w:p w14:paraId="35816DE5" w14:textId="77777777" w:rsidR="005D195D" w:rsidRPr="004A4101" w:rsidRDefault="005D195D" w:rsidP="00200F58">
      <w:pPr>
        <w:ind w:left="567"/>
        <w:jc w:val="both"/>
        <w:rPr>
          <w:rFonts w:ascii="Arial" w:hAnsi="Arial" w:cs="Arial"/>
          <w:szCs w:val="24"/>
        </w:rPr>
      </w:pPr>
    </w:p>
    <w:p w14:paraId="3BFE33FA" w14:textId="77777777" w:rsidR="00200F58" w:rsidRPr="004A4101" w:rsidRDefault="00200F58" w:rsidP="00200F58">
      <w:pPr>
        <w:ind w:left="567"/>
        <w:rPr>
          <w:rFonts w:ascii="Arial" w:hAnsi="Arial" w:cs="Arial"/>
          <w:szCs w:val="24"/>
        </w:rPr>
      </w:pPr>
      <w:r w:rsidRPr="00E562CF">
        <w:rPr>
          <w:rFonts w:ascii="Arial" w:hAnsi="Arial" w:cs="Arial"/>
          <w:b/>
          <w:szCs w:val="24"/>
        </w:rPr>
        <w:lastRenderedPageBreak/>
        <w:t>Risk Map</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10"/>
        <w:gridCol w:w="2847"/>
        <w:gridCol w:w="1910"/>
      </w:tblGrid>
      <w:tr w:rsidR="00200F58" w:rsidRPr="004B4022" w14:paraId="5C6B324C" w14:textId="77777777" w:rsidTr="00B5003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221CDDE1" w14:textId="77777777" w:rsidR="00200F58" w:rsidRPr="004B4022" w:rsidRDefault="00200F58" w:rsidP="00ED4FE4">
            <w:pPr>
              <w:rPr>
                <w:rFonts w:ascii="Arial" w:hAnsi="Arial" w:cs="Arial"/>
                <w:b/>
                <w:szCs w:val="24"/>
              </w:rPr>
            </w:pPr>
            <w:r w:rsidRPr="004B4022">
              <w:rPr>
                <w:rFonts w:ascii="Arial" w:hAnsi="Arial" w:cs="Arial"/>
                <w:b/>
                <w:szCs w:val="24"/>
              </w:rPr>
              <w:t>Risk</w:t>
            </w:r>
          </w:p>
        </w:tc>
        <w:tc>
          <w:tcPr>
            <w:tcW w:w="1910" w:type="dxa"/>
            <w:tcBorders>
              <w:top w:val="single" w:sz="4" w:space="0" w:color="auto"/>
              <w:left w:val="single" w:sz="4" w:space="0" w:color="auto"/>
              <w:bottom w:val="single" w:sz="4" w:space="0" w:color="auto"/>
              <w:right w:val="single" w:sz="4" w:space="0" w:color="auto"/>
            </w:tcBorders>
            <w:shd w:val="clear" w:color="auto" w:fill="D9D9D9"/>
            <w:hideMark/>
          </w:tcPr>
          <w:p w14:paraId="4878D555" w14:textId="77777777" w:rsidR="00200F58" w:rsidRPr="004B4022" w:rsidRDefault="00200F58" w:rsidP="00ED4FE4">
            <w:pPr>
              <w:rPr>
                <w:rFonts w:ascii="Arial" w:hAnsi="Arial" w:cs="Arial"/>
                <w:b/>
                <w:szCs w:val="24"/>
              </w:rPr>
            </w:pPr>
            <w:r w:rsidRPr="004B4022">
              <w:rPr>
                <w:rFonts w:ascii="Arial" w:hAnsi="Arial" w:cs="Arial"/>
                <w:b/>
                <w:bCs/>
                <w:szCs w:val="24"/>
              </w:rPr>
              <w:t>Raw Risk (</w:t>
            </w:r>
            <w:r w:rsidRPr="004B4022">
              <w:rPr>
                <w:rFonts w:ascii="Arial" w:hAnsi="Arial" w:cs="Arial"/>
                <w:bCs/>
                <w:szCs w:val="24"/>
              </w:rPr>
              <w:t>High/Med/Low)</w:t>
            </w:r>
          </w:p>
        </w:tc>
        <w:tc>
          <w:tcPr>
            <w:tcW w:w="2847" w:type="dxa"/>
            <w:tcBorders>
              <w:top w:val="single" w:sz="4" w:space="0" w:color="auto"/>
              <w:left w:val="single" w:sz="4" w:space="0" w:color="auto"/>
              <w:bottom w:val="single" w:sz="4" w:space="0" w:color="auto"/>
              <w:right w:val="single" w:sz="4" w:space="0" w:color="auto"/>
            </w:tcBorders>
            <w:shd w:val="clear" w:color="auto" w:fill="D9D9D9"/>
            <w:hideMark/>
          </w:tcPr>
          <w:p w14:paraId="5E9CFA7D" w14:textId="77777777" w:rsidR="00200F58" w:rsidRPr="004B4022" w:rsidRDefault="00200F58" w:rsidP="00ED4FE4">
            <w:pPr>
              <w:rPr>
                <w:rFonts w:ascii="Arial" w:hAnsi="Arial" w:cs="Arial"/>
                <w:b/>
                <w:szCs w:val="24"/>
              </w:rPr>
            </w:pPr>
            <w:r w:rsidRPr="004B4022">
              <w:rPr>
                <w:rFonts w:ascii="Arial" w:hAnsi="Arial" w:cs="Arial"/>
                <w:b/>
                <w:bCs/>
                <w:szCs w:val="24"/>
              </w:rPr>
              <w:t>Mitigated Action</w:t>
            </w:r>
          </w:p>
        </w:tc>
        <w:tc>
          <w:tcPr>
            <w:tcW w:w="1910" w:type="dxa"/>
            <w:tcBorders>
              <w:top w:val="single" w:sz="4" w:space="0" w:color="auto"/>
              <w:left w:val="single" w:sz="4" w:space="0" w:color="auto"/>
              <w:bottom w:val="single" w:sz="4" w:space="0" w:color="auto"/>
              <w:right w:val="single" w:sz="4" w:space="0" w:color="auto"/>
            </w:tcBorders>
            <w:shd w:val="clear" w:color="auto" w:fill="D9D9D9"/>
            <w:hideMark/>
          </w:tcPr>
          <w:p w14:paraId="47427ABB" w14:textId="77777777" w:rsidR="00200F58" w:rsidRPr="004B4022" w:rsidRDefault="00200F58" w:rsidP="00ED4FE4">
            <w:pPr>
              <w:rPr>
                <w:rFonts w:ascii="Arial" w:hAnsi="Arial" w:cs="Arial"/>
                <w:b/>
                <w:szCs w:val="24"/>
              </w:rPr>
            </w:pPr>
            <w:r w:rsidRPr="004B4022">
              <w:rPr>
                <w:rFonts w:ascii="Arial" w:hAnsi="Arial" w:cs="Arial"/>
                <w:b/>
                <w:bCs/>
                <w:szCs w:val="24"/>
              </w:rPr>
              <w:t xml:space="preserve">Residual Risk </w:t>
            </w:r>
            <w:r w:rsidRPr="004B4022">
              <w:rPr>
                <w:rFonts w:ascii="Arial" w:hAnsi="Arial" w:cs="Arial"/>
                <w:bCs/>
                <w:szCs w:val="24"/>
              </w:rPr>
              <w:t>(High/Med/Low)</w:t>
            </w:r>
          </w:p>
        </w:tc>
      </w:tr>
      <w:tr w:rsidR="00200F58" w:rsidRPr="004B4022" w14:paraId="4C2B05AA" w14:textId="77777777" w:rsidTr="00B5003C">
        <w:trPr>
          <w:trHeight w:val="1006"/>
        </w:trPr>
        <w:tc>
          <w:tcPr>
            <w:tcW w:w="2127" w:type="dxa"/>
            <w:tcBorders>
              <w:top w:val="single" w:sz="4" w:space="0" w:color="auto"/>
              <w:left w:val="single" w:sz="4" w:space="0" w:color="auto"/>
              <w:bottom w:val="single" w:sz="4" w:space="0" w:color="auto"/>
              <w:right w:val="single" w:sz="4" w:space="0" w:color="auto"/>
            </w:tcBorders>
          </w:tcPr>
          <w:p w14:paraId="177569B3" w14:textId="1C750787" w:rsidR="00200F58" w:rsidRPr="004B4022" w:rsidRDefault="00410B79" w:rsidP="00ED4FE4">
            <w:pPr>
              <w:rPr>
                <w:rFonts w:ascii="Arial" w:hAnsi="Arial" w:cs="Arial"/>
                <w:szCs w:val="24"/>
              </w:rPr>
            </w:pPr>
            <w:r w:rsidRPr="004B4022">
              <w:rPr>
                <w:rFonts w:ascii="Arial" w:hAnsi="Arial" w:cs="Arial"/>
                <w:szCs w:val="24"/>
              </w:rPr>
              <w:t>Failure to meet regulatory requirements</w:t>
            </w:r>
          </w:p>
        </w:tc>
        <w:tc>
          <w:tcPr>
            <w:tcW w:w="1910" w:type="dxa"/>
            <w:tcBorders>
              <w:top w:val="single" w:sz="4" w:space="0" w:color="auto"/>
              <w:left w:val="single" w:sz="4" w:space="0" w:color="auto"/>
              <w:bottom w:val="single" w:sz="4" w:space="0" w:color="auto"/>
              <w:right w:val="single" w:sz="4" w:space="0" w:color="auto"/>
            </w:tcBorders>
          </w:tcPr>
          <w:p w14:paraId="0E64B493" w14:textId="77777777" w:rsidR="00200F58" w:rsidRPr="004B4022" w:rsidRDefault="00200F58" w:rsidP="00ED4FE4">
            <w:pPr>
              <w:jc w:val="center"/>
              <w:rPr>
                <w:rFonts w:ascii="Arial" w:hAnsi="Arial" w:cs="Arial"/>
                <w:b/>
                <w:bCs/>
                <w:szCs w:val="24"/>
              </w:rPr>
            </w:pPr>
            <w:r w:rsidRPr="004B4022">
              <w:rPr>
                <w:rFonts w:ascii="Arial" w:hAnsi="Arial" w:cs="Arial"/>
                <w:b/>
                <w:bCs/>
                <w:szCs w:val="24"/>
              </w:rPr>
              <w:t>HIGH</w:t>
            </w:r>
          </w:p>
        </w:tc>
        <w:tc>
          <w:tcPr>
            <w:tcW w:w="2847" w:type="dxa"/>
            <w:tcBorders>
              <w:top w:val="single" w:sz="4" w:space="0" w:color="auto"/>
              <w:left w:val="single" w:sz="4" w:space="0" w:color="auto"/>
              <w:bottom w:val="single" w:sz="4" w:space="0" w:color="auto"/>
              <w:right w:val="single" w:sz="4" w:space="0" w:color="auto"/>
            </w:tcBorders>
          </w:tcPr>
          <w:p w14:paraId="57D6C75F" w14:textId="77777777" w:rsidR="00410B79"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Keep up to date with SHR/SFHA publications</w:t>
            </w:r>
          </w:p>
          <w:p w14:paraId="216ED966" w14:textId="77777777" w:rsidR="00410B79"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Legal advice</w:t>
            </w:r>
          </w:p>
          <w:p w14:paraId="32755902" w14:textId="77777777" w:rsidR="00410B79"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Meet regulatory deadlines for information</w:t>
            </w:r>
          </w:p>
          <w:p w14:paraId="0F047EEF" w14:textId="785633A8" w:rsidR="00200F58"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Continue to perform well</w:t>
            </w:r>
          </w:p>
        </w:tc>
        <w:tc>
          <w:tcPr>
            <w:tcW w:w="1910" w:type="dxa"/>
            <w:tcBorders>
              <w:top w:val="single" w:sz="4" w:space="0" w:color="auto"/>
              <w:left w:val="single" w:sz="4" w:space="0" w:color="auto"/>
              <w:bottom w:val="single" w:sz="4" w:space="0" w:color="auto"/>
              <w:right w:val="single" w:sz="4" w:space="0" w:color="auto"/>
            </w:tcBorders>
          </w:tcPr>
          <w:p w14:paraId="3A8645A8" w14:textId="1B2165D8" w:rsidR="00200F58" w:rsidRPr="004B4022" w:rsidRDefault="0091417C" w:rsidP="00ED4FE4">
            <w:pPr>
              <w:jc w:val="center"/>
              <w:rPr>
                <w:rFonts w:ascii="Arial" w:hAnsi="Arial" w:cs="Arial"/>
                <w:b/>
                <w:bCs/>
                <w:szCs w:val="24"/>
              </w:rPr>
            </w:pPr>
            <w:r w:rsidRPr="004B4022">
              <w:rPr>
                <w:rFonts w:ascii="Arial" w:hAnsi="Arial" w:cs="Arial"/>
                <w:b/>
                <w:bCs/>
                <w:szCs w:val="24"/>
              </w:rPr>
              <w:t>MEDIUM</w:t>
            </w:r>
          </w:p>
        </w:tc>
      </w:tr>
      <w:tr w:rsidR="00200F58" w:rsidRPr="00626C4F" w14:paraId="251E48DF" w14:textId="77777777" w:rsidTr="00B5003C">
        <w:tc>
          <w:tcPr>
            <w:tcW w:w="2127" w:type="dxa"/>
            <w:tcBorders>
              <w:top w:val="single" w:sz="4" w:space="0" w:color="auto"/>
              <w:left w:val="single" w:sz="4" w:space="0" w:color="auto"/>
              <w:bottom w:val="single" w:sz="4" w:space="0" w:color="auto"/>
              <w:right w:val="single" w:sz="4" w:space="0" w:color="auto"/>
            </w:tcBorders>
          </w:tcPr>
          <w:p w14:paraId="71D46A88" w14:textId="065E27A1" w:rsidR="00200F58" w:rsidRPr="004B4022" w:rsidRDefault="00410B79" w:rsidP="00410B79">
            <w:pPr>
              <w:rPr>
                <w:rFonts w:ascii="Arial" w:hAnsi="Arial" w:cs="Arial"/>
                <w:bCs/>
                <w:color w:val="FF0000"/>
                <w:szCs w:val="24"/>
              </w:rPr>
            </w:pPr>
            <w:r w:rsidRPr="004B4022">
              <w:rPr>
                <w:rFonts w:ascii="Arial" w:hAnsi="Arial" w:cs="Arial"/>
                <w:bCs/>
                <w:szCs w:val="24"/>
              </w:rPr>
              <w:t>Tenants Views are not considered</w:t>
            </w:r>
          </w:p>
          <w:p w14:paraId="7D07C9AE" w14:textId="77777777" w:rsidR="00200F58" w:rsidRPr="004B4022" w:rsidRDefault="00200F58" w:rsidP="00ED4FE4">
            <w:pPr>
              <w:rPr>
                <w:rFonts w:ascii="Arial" w:hAnsi="Arial" w:cs="Arial"/>
                <w:szCs w:val="24"/>
              </w:rPr>
            </w:pPr>
          </w:p>
        </w:tc>
        <w:tc>
          <w:tcPr>
            <w:tcW w:w="1910" w:type="dxa"/>
            <w:tcBorders>
              <w:top w:val="single" w:sz="4" w:space="0" w:color="auto"/>
              <w:left w:val="single" w:sz="4" w:space="0" w:color="auto"/>
              <w:bottom w:val="single" w:sz="4" w:space="0" w:color="auto"/>
              <w:right w:val="single" w:sz="4" w:space="0" w:color="auto"/>
            </w:tcBorders>
          </w:tcPr>
          <w:p w14:paraId="2ED1162B" w14:textId="77777777" w:rsidR="00200F58" w:rsidRPr="004B4022" w:rsidRDefault="00200F58" w:rsidP="00ED4FE4">
            <w:pPr>
              <w:jc w:val="center"/>
              <w:rPr>
                <w:rFonts w:ascii="Arial" w:hAnsi="Arial" w:cs="Arial"/>
                <w:b/>
                <w:bCs/>
                <w:szCs w:val="24"/>
              </w:rPr>
            </w:pPr>
            <w:r w:rsidRPr="004B4022">
              <w:rPr>
                <w:rFonts w:ascii="Arial" w:hAnsi="Arial" w:cs="Arial"/>
                <w:b/>
                <w:szCs w:val="24"/>
              </w:rPr>
              <w:t>HIGH</w:t>
            </w:r>
          </w:p>
        </w:tc>
        <w:tc>
          <w:tcPr>
            <w:tcW w:w="2847" w:type="dxa"/>
            <w:tcBorders>
              <w:top w:val="single" w:sz="4" w:space="0" w:color="auto"/>
              <w:left w:val="single" w:sz="4" w:space="0" w:color="auto"/>
              <w:bottom w:val="single" w:sz="4" w:space="0" w:color="auto"/>
              <w:right w:val="single" w:sz="4" w:space="0" w:color="auto"/>
            </w:tcBorders>
          </w:tcPr>
          <w:p w14:paraId="6B66F08D" w14:textId="77777777" w:rsidR="00410B79"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Good communication with tenants</w:t>
            </w:r>
          </w:p>
          <w:p w14:paraId="1CA5AABA" w14:textId="5639D880" w:rsidR="00410B79"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Consultation exercises communicated in newsletters</w:t>
            </w:r>
            <w:r w:rsidR="002D782B" w:rsidRPr="004B4022">
              <w:rPr>
                <w:rFonts w:ascii="Arial" w:hAnsi="Arial" w:cs="Arial"/>
                <w:szCs w:val="24"/>
              </w:rPr>
              <w:t xml:space="preserve"> / social media</w:t>
            </w:r>
          </w:p>
          <w:p w14:paraId="10FA802F" w14:textId="77777777" w:rsidR="00410B79"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Regular feedback on the views expressed and any reasons for non-compliance</w:t>
            </w:r>
          </w:p>
          <w:p w14:paraId="688EF65E" w14:textId="13E98308" w:rsidR="00200F58"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Newsletter articles to promote the importance of feedback</w:t>
            </w:r>
          </w:p>
        </w:tc>
        <w:tc>
          <w:tcPr>
            <w:tcW w:w="1910" w:type="dxa"/>
            <w:tcBorders>
              <w:top w:val="single" w:sz="4" w:space="0" w:color="auto"/>
              <w:left w:val="single" w:sz="4" w:space="0" w:color="auto"/>
              <w:bottom w:val="single" w:sz="4" w:space="0" w:color="auto"/>
              <w:right w:val="single" w:sz="4" w:space="0" w:color="auto"/>
            </w:tcBorders>
          </w:tcPr>
          <w:p w14:paraId="4F8E6750" w14:textId="3114FAD8" w:rsidR="00200F58" w:rsidRPr="00626C4F" w:rsidRDefault="00410B79" w:rsidP="00ED4FE4">
            <w:pPr>
              <w:jc w:val="center"/>
              <w:rPr>
                <w:rFonts w:ascii="Arial" w:hAnsi="Arial" w:cs="Arial"/>
                <w:b/>
                <w:bCs/>
                <w:szCs w:val="24"/>
              </w:rPr>
            </w:pPr>
            <w:r w:rsidRPr="004B4022">
              <w:rPr>
                <w:rFonts w:ascii="Arial" w:hAnsi="Arial" w:cs="Arial"/>
                <w:b/>
                <w:bCs/>
                <w:szCs w:val="24"/>
              </w:rPr>
              <w:t>LOW</w:t>
            </w:r>
          </w:p>
        </w:tc>
      </w:tr>
    </w:tbl>
    <w:p w14:paraId="15DE6091" w14:textId="77777777" w:rsidR="00200F58" w:rsidRPr="004A4101" w:rsidRDefault="00200F58" w:rsidP="00200F58">
      <w:pPr>
        <w:pStyle w:val="ListParagraph"/>
        <w:ind w:left="567"/>
        <w:rPr>
          <w:rFonts w:ascii="Arial" w:hAnsi="Arial" w:cs="Arial"/>
          <w:bCs/>
          <w:szCs w:val="24"/>
        </w:rPr>
      </w:pPr>
    </w:p>
    <w:p w14:paraId="0F2B4E14" w14:textId="77777777" w:rsidR="00200F58" w:rsidRPr="00D969A6" w:rsidRDefault="00200F58" w:rsidP="00200F58">
      <w:pPr>
        <w:pStyle w:val="ListParagraph"/>
        <w:numPr>
          <w:ilvl w:val="0"/>
          <w:numId w:val="1"/>
        </w:numPr>
        <w:ind w:left="567" w:hanging="567"/>
        <w:rPr>
          <w:rFonts w:ascii="Arial" w:hAnsi="Arial" w:cs="Arial"/>
          <w:b/>
          <w:szCs w:val="24"/>
          <w:u w:val="single"/>
        </w:rPr>
      </w:pPr>
      <w:r w:rsidRPr="00D969A6">
        <w:rPr>
          <w:rFonts w:ascii="Arial" w:hAnsi="Arial" w:cs="Arial"/>
          <w:b/>
          <w:szCs w:val="24"/>
          <w:u w:val="single"/>
        </w:rPr>
        <w:t>REGULATORY ISSUES &amp; ASSURANCE STATEMENTS</w:t>
      </w:r>
    </w:p>
    <w:p w14:paraId="0B5F1FF9" w14:textId="77777777" w:rsidR="00200F58" w:rsidRPr="00D969A6" w:rsidRDefault="00200F58" w:rsidP="00200F58">
      <w:pPr>
        <w:rPr>
          <w:rFonts w:ascii="Arial" w:hAnsi="Arial" w:cs="Arial"/>
          <w:b/>
          <w:szCs w:val="24"/>
        </w:rPr>
      </w:pPr>
    </w:p>
    <w:p w14:paraId="5B5A4A9A" w14:textId="77777777" w:rsidR="00200F58" w:rsidRPr="00D969A6" w:rsidRDefault="00200F58" w:rsidP="00200F58">
      <w:pPr>
        <w:pStyle w:val="ListParagraph"/>
        <w:numPr>
          <w:ilvl w:val="1"/>
          <w:numId w:val="1"/>
        </w:numPr>
        <w:ind w:left="567" w:hanging="567"/>
        <w:rPr>
          <w:rFonts w:ascii="Arial" w:hAnsi="Arial" w:cs="Arial"/>
          <w:szCs w:val="24"/>
          <w:u w:val="single"/>
        </w:rPr>
      </w:pPr>
      <w:r w:rsidRPr="00D969A6">
        <w:rPr>
          <w:rFonts w:ascii="Arial" w:hAnsi="Arial" w:cs="Arial"/>
          <w:szCs w:val="24"/>
          <w:u w:val="single"/>
        </w:rPr>
        <w:t>Regulatory Issues</w:t>
      </w:r>
    </w:p>
    <w:p w14:paraId="31ECEA29" w14:textId="77777777" w:rsidR="00200F58" w:rsidRPr="00D969A6" w:rsidRDefault="00200F58" w:rsidP="00200F58">
      <w:pPr>
        <w:pStyle w:val="ListParagraph"/>
        <w:ind w:left="567"/>
        <w:jc w:val="both"/>
        <w:rPr>
          <w:rFonts w:ascii="Arial" w:hAnsi="Arial" w:cs="Arial"/>
          <w:szCs w:val="24"/>
        </w:rPr>
      </w:pPr>
      <w:r w:rsidRPr="00D969A6">
        <w:rPr>
          <w:rFonts w:ascii="Arial" w:hAnsi="Arial" w:cs="Arial"/>
          <w:szCs w:val="24"/>
        </w:rPr>
        <w:t>Governing Body awareness and assurance that a robust performance management framework is in place ensures compliance with the following regulatory standards</w:t>
      </w:r>
    </w:p>
    <w:p w14:paraId="68DFF62B" w14:textId="77777777" w:rsidR="00200F58" w:rsidRPr="00D969A6" w:rsidRDefault="00200F58" w:rsidP="00200F58">
      <w:pPr>
        <w:pStyle w:val="ListParagraph"/>
        <w:ind w:left="567"/>
        <w:jc w:val="both"/>
        <w:rPr>
          <w:rFonts w:ascii="Arial" w:hAnsi="Arial" w:cs="Arial"/>
          <w:szCs w:val="24"/>
        </w:rPr>
      </w:pPr>
    </w:p>
    <w:p w14:paraId="72F3B033" w14:textId="77777777" w:rsidR="00200F58" w:rsidRPr="00D969A6" w:rsidRDefault="00200F58" w:rsidP="00200F58">
      <w:pPr>
        <w:numPr>
          <w:ilvl w:val="0"/>
          <w:numId w:val="5"/>
        </w:numPr>
        <w:ind w:left="993" w:right="425"/>
        <w:rPr>
          <w:rFonts w:ascii="Arial" w:hAnsi="Arial" w:cs="Arial"/>
          <w:bCs/>
          <w:i/>
          <w:szCs w:val="24"/>
        </w:rPr>
      </w:pPr>
      <w:r w:rsidRPr="00D969A6">
        <w:rPr>
          <w:rFonts w:ascii="Arial" w:hAnsi="Arial" w:cs="Arial"/>
          <w:bCs/>
          <w:szCs w:val="24"/>
        </w:rPr>
        <w:t xml:space="preserve">The governing body leads and directs the RSL to achieve good outcomes for its tenants and other service users </w:t>
      </w:r>
      <w:r w:rsidRPr="00D969A6">
        <w:rPr>
          <w:rFonts w:ascii="Arial" w:hAnsi="Arial" w:cs="Arial"/>
          <w:b/>
          <w:i/>
          <w:szCs w:val="24"/>
        </w:rPr>
        <w:t>(Regulatory Standard 1)</w:t>
      </w:r>
      <w:r w:rsidRPr="00D969A6">
        <w:rPr>
          <w:rFonts w:ascii="Arial" w:hAnsi="Arial" w:cs="Arial"/>
          <w:bCs/>
          <w:i/>
          <w:szCs w:val="24"/>
        </w:rPr>
        <w:t>;</w:t>
      </w:r>
    </w:p>
    <w:p w14:paraId="09BB99E7" w14:textId="77777777" w:rsidR="00200F58" w:rsidRPr="00D969A6" w:rsidRDefault="00200F58" w:rsidP="00200F58">
      <w:pPr>
        <w:numPr>
          <w:ilvl w:val="0"/>
          <w:numId w:val="5"/>
        </w:numPr>
        <w:ind w:left="993" w:right="425"/>
        <w:rPr>
          <w:rFonts w:ascii="Arial" w:hAnsi="Arial" w:cs="Arial"/>
          <w:bCs/>
          <w:i/>
          <w:szCs w:val="24"/>
        </w:rPr>
      </w:pPr>
      <w:r w:rsidRPr="00D969A6">
        <w:rPr>
          <w:rFonts w:ascii="Arial" w:hAnsi="Arial" w:cs="Arial"/>
          <w:szCs w:val="24"/>
        </w:rPr>
        <w:t xml:space="preserve">The governing body bases its decisions on good quality information and advice and identifies and mitigates risks to the organisation’s purpose </w:t>
      </w:r>
      <w:r w:rsidRPr="00D969A6">
        <w:rPr>
          <w:rFonts w:ascii="Arial" w:hAnsi="Arial" w:cs="Arial"/>
          <w:b/>
          <w:i/>
          <w:szCs w:val="24"/>
        </w:rPr>
        <w:t>(Regulatory Standard 4)</w:t>
      </w:r>
    </w:p>
    <w:p w14:paraId="7D0BF2AE" w14:textId="77777777" w:rsidR="00200F58" w:rsidRPr="0044209D" w:rsidRDefault="00200F58" w:rsidP="00200F58">
      <w:pPr>
        <w:pStyle w:val="ListParagraph"/>
        <w:ind w:left="567"/>
        <w:rPr>
          <w:rFonts w:ascii="Arial" w:hAnsi="Arial" w:cs="Arial"/>
          <w:bCs/>
          <w:szCs w:val="24"/>
          <w:u w:val="single"/>
        </w:rPr>
      </w:pPr>
    </w:p>
    <w:p w14:paraId="4E69ED27" w14:textId="77777777" w:rsidR="00200F58" w:rsidRPr="0044209D" w:rsidRDefault="00200F58" w:rsidP="00200F58">
      <w:pPr>
        <w:pStyle w:val="ListParagraph"/>
        <w:numPr>
          <w:ilvl w:val="1"/>
          <w:numId w:val="1"/>
        </w:numPr>
        <w:ind w:left="567" w:hanging="567"/>
        <w:rPr>
          <w:rFonts w:ascii="Arial" w:hAnsi="Arial" w:cs="Arial"/>
          <w:bCs/>
          <w:szCs w:val="24"/>
          <w:u w:val="single"/>
        </w:rPr>
      </w:pPr>
      <w:r w:rsidRPr="0044209D">
        <w:rPr>
          <w:rFonts w:ascii="Arial" w:hAnsi="Arial" w:cs="Arial"/>
          <w:bCs/>
          <w:szCs w:val="24"/>
          <w:u w:val="single"/>
        </w:rPr>
        <w:t>Notifiable Event</w:t>
      </w:r>
    </w:p>
    <w:p w14:paraId="50BBD964" w14:textId="77777777" w:rsidR="00200F58" w:rsidRPr="0044209D" w:rsidRDefault="00200F58" w:rsidP="00200F58">
      <w:pPr>
        <w:pStyle w:val="ListParagraph"/>
        <w:ind w:left="567"/>
        <w:rPr>
          <w:rFonts w:ascii="Arial" w:hAnsi="Arial" w:cs="Arial"/>
          <w:bCs/>
          <w:szCs w:val="24"/>
        </w:rPr>
      </w:pPr>
      <w:r w:rsidRPr="0044209D">
        <w:rPr>
          <w:rFonts w:ascii="Arial" w:hAnsi="Arial" w:cs="Arial"/>
          <w:bCs/>
          <w:szCs w:val="24"/>
        </w:rPr>
        <w:t xml:space="preserve">The report is </w:t>
      </w:r>
      <w:r w:rsidRPr="0044209D">
        <w:rPr>
          <w:rFonts w:ascii="Arial" w:hAnsi="Arial" w:cs="Arial"/>
          <w:b/>
          <w:szCs w:val="24"/>
        </w:rPr>
        <w:t xml:space="preserve">NOT </w:t>
      </w:r>
      <w:r w:rsidRPr="0044209D">
        <w:rPr>
          <w:rFonts w:ascii="Arial" w:hAnsi="Arial" w:cs="Arial"/>
          <w:bCs/>
          <w:szCs w:val="24"/>
        </w:rPr>
        <w:t xml:space="preserve">subject to a Notifiable Event submission to the Scottish Housing Regulator.  </w:t>
      </w:r>
    </w:p>
    <w:p w14:paraId="518FC491" w14:textId="1F718893" w:rsidR="00200F58" w:rsidRDefault="00200F58" w:rsidP="00200F58">
      <w:pPr>
        <w:pStyle w:val="ListParagraph"/>
        <w:ind w:left="567"/>
        <w:rPr>
          <w:rFonts w:ascii="Arial" w:hAnsi="Arial" w:cs="Arial"/>
          <w:szCs w:val="24"/>
        </w:rPr>
      </w:pPr>
    </w:p>
    <w:p w14:paraId="1374D674" w14:textId="77777777" w:rsidR="00200F58" w:rsidRPr="0044209D" w:rsidRDefault="00200F58" w:rsidP="00200F58">
      <w:pPr>
        <w:pStyle w:val="ListParagraph"/>
        <w:numPr>
          <w:ilvl w:val="1"/>
          <w:numId w:val="1"/>
        </w:numPr>
        <w:ind w:left="567" w:hanging="567"/>
        <w:rPr>
          <w:rFonts w:ascii="Arial" w:hAnsi="Arial" w:cs="Arial"/>
          <w:szCs w:val="24"/>
          <w:u w:val="single"/>
        </w:rPr>
      </w:pPr>
      <w:r w:rsidRPr="0044209D">
        <w:rPr>
          <w:rFonts w:ascii="Arial" w:hAnsi="Arial" w:cs="Arial"/>
          <w:szCs w:val="24"/>
          <w:u w:val="single"/>
        </w:rPr>
        <w:t>Annual Assurance Statements</w:t>
      </w:r>
    </w:p>
    <w:p w14:paraId="0453E993" w14:textId="77777777" w:rsidR="00200F58" w:rsidRPr="0044209D" w:rsidRDefault="00200F58" w:rsidP="00200F58">
      <w:pPr>
        <w:ind w:left="567"/>
        <w:jc w:val="both"/>
        <w:rPr>
          <w:rFonts w:ascii="Arial" w:hAnsi="Arial" w:cs="Arial"/>
          <w:szCs w:val="24"/>
        </w:rPr>
      </w:pPr>
      <w:r w:rsidRPr="0044209D">
        <w:rPr>
          <w:rFonts w:ascii="Arial" w:hAnsi="Arial" w:cs="Arial"/>
          <w:szCs w:val="24"/>
        </w:rPr>
        <w:t xml:space="preserve">It </w:t>
      </w:r>
      <w:r w:rsidRPr="0044209D">
        <w:rPr>
          <w:rFonts w:ascii="Arial" w:hAnsi="Arial" w:cs="Arial"/>
          <w:b/>
          <w:szCs w:val="24"/>
        </w:rPr>
        <w:t>IS</w:t>
      </w:r>
      <w:r w:rsidRPr="0044209D">
        <w:rPr>
          <w:rFonts w:ascii="Arial" w:hAnsi="Arial" w:cs="Arial"/>
          <w:szCs w:val="24"/>
        </w:rPr>
        <w:t xml:space="preserve"> envisaged that the information contained in this report will be used as evidence to support the Associations Annual Assurance Statement.</w:t>
      </w:r>
    </w:p>
    <w:p w14:paraId="2234602E" w14:textId="77777777" w:rsidR="00200F58" w:rsidRPr="0044209D" w:rsidRDefault="00200F58" w:rsidP="00200F58">
      <w:pPr>
        <w:ind w:left="567"/>
        <w:rPr>
          <w:rFonts w:ascii="Arial" w:hAnsi="Arial" w:cs="Arial"/>
          <w:iCs/>
          <w:szCs w:val="24"/>
        </w:rPr>
      </w:pPr>
    </w:p>
    <w:p w14:paraId="4E5A8BE4" w14:textId="77777777" w:rsidR="00200F58" w:rsidRPr="0044209D" w:rsidRDefault="00200F58" w:rsidP="00200F58">
      <w:pPr>
        <w:pStyle w:val="ListParagraph"/>
        <w:numPr>
          <w:ilvl w:val="0"/>
          <w:numId w:val="1"/>
        </w:numPr>
        <w:ind w:left="567" w:hanging="567"/>
        <w:jc w:val="both"/>
        <w:rPr>
          <w:rFonts w:ascii="Arial" w:hAnsi="Arial" w:cs="Arial"/>
          <w:b/>
          <w:szCs w:val="24"/>
          <w:u w:val="single"/>
        </w:rPr>
      </w:pPr>
      <w:r w:rsidRPr="0044209D">
        <w:rPr>
          <w:rFonts w:ascii="Arial" w:hAnsi="Arial" w:cs="Arial"/>
          <w:b/>
          <w:szCs w:val="24"/>
          <w:u w:val="single"/>
        </w:rPr>
        <w:t>LEGAL AND CONSTITUTIONAL ISSUES</w:t>
      </w:r>
    </w:p>
    <w:p w14:paraId="02B5991A" w14:textId="77777777" w:rsidR="00200F58" w:rsidRPr="0044209D" w:rsidRDefault="00200F58" w:rsidP="00200F58">
      <w:pPr>
        <w:pStyle w:val="ListParagraph"/>
        <w:ind w:left="567"/>
        <w:jc w:val="both"/>
        <w:rPr>
          <w:rFonts w:ascii="Arial" w:hAnsi="Arial" w:cs="Arial"/>
          <w:b/>
          <w:szCs w:val="24"/>
          <w:u w:val="single"/>
        </w:rPr>
      </w:pPr>
    </w:p>
    <w:p w14:paraId="0BBF23CF" w14:textId="77777777" w:rsidR="00200F58" w:rsidRPr="0044209D" w:rsidRDefault="00200F58" w:rsidP="00200F58">
      <w:pPr>
        <w:pStyle w:val="ListParagraph"/>
        <w:numPr>
          <w:ilvl w:val="1"/>
          <w:numId w:val="1"/>
        </w:numPr>
        <w:tabs>
          <w:tab w:val="left" w:pos="567"/>
        </w:tabs>
        <w:ind w:left="709" w:hanging="709"/>
        <w:jc w:val="both"/>
        <w:rPr>
          <w:rFonts w:ascii="Arial" w:hAnsi="Arial" w:cs="Arial"/>
          <w:szCs w:val="24"/>
          <w:u w:val="single"/>
        </w:rPr>
      </w:pPr>
      <w:r w:rsidRPr="0044209D">
        <w:rPr>
          <w:rFonts w:ascii="Arial" w:hAnsi="Arial" w:cs="Arial"/>
          <w:szCs w:val="24"/>
          <w:u w:val="single"/>
        </w:rPr>
        <w:t>Legal Issues</w:t>
      </w:r>
    </w:p>
    <w:p w14:paraId="3ECD79DE" w14:textId="77777777" w:rsidR="00200F58" w:rsidRPr="0044209D" w:rsidRDefault="00200F58" w:rsidP="00200F58">
      <w:pPr>
        <w:pStyle w:val="ListParagraph"/>
        <w:ind w:left="567"/>
        <w:jc w:val="both"/>
        <w:rPr>
          <w:rFonts w:ascii="Arial" w:hAnsi="Arial" w:cs="Arial"/>
          <w:szCs w:val="24"/>
        </w:rPr>
      </w:pPr>
      <w:r w:rsidRPr="0044209D">
        <w:rPr>
          <w:rFonts w:ascii="Arial" w:hAnsi="Arial" w:cs="Arial"/>
          <w:szCs w:val="24"/>
        </w:rPr>
        <w:t xml:space="preserve">There are no legal issues associated with this report. </w:t>
      </w:r>
    </w:p>
    <w:p w14:paraId="6BC916EC" w14:textId="77777777" w:rsidR="00200F58" w:rsidRPr="0044209D" w:rsidRDefault="00200F58" w:rsidP="00200F58">
      <w:pPr>
        <w:pStyle w:val="ListParagraph"/>
        <w:ind w:left="0"/>
        <w:jc w:val="both"/>
        <w:rPr>
          <w:rFonts w:ascii="Arial" w:hAnsi="Arial" w:cs="Arial"/>
          <w:szCs w:val="24"/>
        </w:rPr>
      </w:pPr>
    </w:p>
    <w:p w14:paraId="1C815220" w14:textId="77777777" w:rsidR="00200F58" w:rsidRPr="0044209D" w:rsidRDefault="00200F58" w:rsidP="00200F58">
      <w:pPr>
        <w:pStyle w:val="ListParagraph"/>
        <w:numPr>
          <w:ilvl w:val="1"/>
          <w:numId w:val="1"/>
        </w:numPr>
        <w:tabs>
          <w:tab w:val="left" w:pos="567"/>
        </w:tabs>
        <w:ind w:left="567" w:hanging="567"/>
        <w:jc w:val="both"/>
        <w:rPr>
          <w:rFonts w:ascii="Arial" w:hAnsi="Arial" w:cs="Arial"/>
          <w:szCs w:val="24"/>
          <w:u w:val="single"/>
        </w:rPr>
      </w:pPr>
      <w:r w:rsidRPr="0044209D">
        <w:rPr>
          <w:rFonts w:ascii="Arial" w:hAnsi="Arial" w:cs="Arial"/>
          <w:szCs w:val="24"/>
          <w:u w:val="single"/>
        </w:rPr>
        <w:lastRenderedPageBreak/>
        <w:t>Constitutional Issues/Rules</w:t>
      </w:r>
    </w:p>
    <w:p w14:paraId="283848CE" w14:textId="77777777" w:rsidR="00200F58" w:rsidRPr="0044209D" w:rsidRDefault="00200F58" w:rsidP="00200F58">
      <w:pPr>
        <w:pStyle w:val="ListParagraph"/>
        <w:ind w:left="567"/>
        <w:rPr>
          <w:rFonts w:ascii="Arial" w:hAnsi="Arial" w:cs="Arial"/>
          <w:b/>
          <w:szCs w:val="24"/>
          <w:u w:val="single"/>
        </w:rPr>
      </w:pPr>
      <w:r w:rsidRPr="0044209D">
        <w:rPr>
          <w:rFonts w:ascii="Arial" w:hAnsi="Arial" w:cs="Arial"/>
          <w:szCs w:val="24"/>
        </w:rPr>
        <w:t>There are no constitutional issues associated with this report</w:t>
      </w:r>
    </w:p>
    <w:p w14:paraId="124DBCA3" w14:textId="77777777" w:rsidR="00200F58" w:rsidRPr="0034659B" w:rsidRDefault="00200F58" w:rsidP="00200F58">
      <w:pPr>
        <w:pStyle w:val="ListParagraph"/>
        <w:ind w:left="567"/>
        <w:rPr>
          <w:rFonts w:ascii="Arial" w:hAnsi="Arial" w:cs="Arial"/>
          <w:b/>
          <w:szCs w:val="24"/>
          <w:u w:val="single"/>
        </w:rPr>
      </w:pPr>
    </w:p>
    <w:p w14:paraId="4B4A7CBA" w14:textId="77777777" w:rsidR="00200F58" w:rsidRPr="0034659B" w:rsidRDefault="00200F58" w:rsidP="00200F58">
      <w:pPr>
        <w:pStyle w:val="ListParagraph"/>
        <w:numPr>
          <w:ilvl w:val="0"/>
          <w:numId w:val="1"/>
        </w:numPr>
        <w:ind w:left="567" w:hanging="567"/>
        <w:rPr>
          <w:rFonts w:ascii="Arial" w:hAnsi="Arial" w:cs="Arial"/>
          <w:b/>
          <w:szCs w:val="24"/>
          <w:u w:val="single"/>
        </w:rPr>
      </w:pPr>
      <w:r w:rsidRPr="0034659B">
        <w:rPr>
          <w:rFonts w:ascii="Arial" w:hAnsi="Arial" w:cs="Arial"/>
          <w:b/>
          <w:szCs w:val="24"/>
          <w:u w:val="single"/>
        </w:rPr>
        <w:t>COMPLIANCE WITH POLICIES AND PROCEDURES</w:t>
      </w:r>
    </w:p>
    <w:p w14:paraId="039FB84D" w14:textId="77777777" w:rsidR="00200F58" w:rsidRPr="0034659B" w:rsidRDefault="00200F58" w:rsidP="00200F58">
      <w:pPr>
        <w:pStyle w:val="ListParagraph"/>
        <w:ind w:left="567"/>
        <w:rPr>
          <w:rFonts w:ascii="Arial" w:hAnsi="Arial" w:cs="Arial"/>
          <w:bCs/>
          <w:szCs w:val="24"/>
        </w:rPr>
      </w:pPr>
    </w:p>
    <w:p w14:paraId="216E1573" w14:textId="77777777" w:rsidR="00200F58" w:rsidRPr="0034659B" w:rsidRDefault="00200F58" w:rsidP="00200F58">
      <w:pPr>
        <w:ind w:left="567"/>
        <w:rPr>
          <w:rFonts w:ascii="Arial" w:hAnsi="Arial" w:cs="Arial"/>
          <w:szCs w:val="24"/>
        </w:rPr>
      </w:pPr>
      <w:r w:rsidRPr="0034659B">
        <w:rPr>
          <w:rFonts w:ascii="Arial" w:hAnsi="Arial" w:cs="Arial"/>
          <w:szCs w:val="24"/>
        </w:rPr>
        <w:t>This report complies with the requirements detailed in the following documents;</w:t>
      </w:r>
    </w:p>
    <w:p w14:paraId="1739AE74" w14:textId="77777777" w:rsidR="00200F58" w:rsidRPr="0034659B" w:rsidRDefault="00200F58" w:rsidP="00200F58">
      <w:pPr>
        <w:ind w:left="567"/>
        <w:rPr>
          <w:rFonts w:ascii="Arial" w:hAnsi="Arial" w:cs="Arial"/>
          <w:szCs w:val="24"/>
        </w:rPr>
      </w:pPr>
    </w:p>
    <w:p w14:paraId="1AE64B2B" w14:textId="765ABBD6" w:rsidR="00200F58" w:rsidRPr="004B4022" w:rsidRDefault="00200F58" w:rsidP="00200F58">
      <w:pPr>
        <w:pStyle w:val="ListParagraph"/>
        <w:numPr>
          <w:ilvl w:val="0"/>
          <w:numId w:val="6"/>
        </w:numPr>
        <w:rPr>
          <w:rFonts w:ascii="Arial" w:hAnsi="Arial" w:cs="Arial"/>
          <w:szCs w:val="24"/>
        </w:rPr>
      </w:pPr>
      <w:r w:rsidRPr="004B4022">
        <w:rPr>
          <w:rFonts w:ascii="Arial" w:hAnsi="Arial" w:cs="Arial"/>
          <w:szCs w:val="24"/>
        </w:rPr>
        <w:t>Complaints Handling Procedure</w:t>
      </w:r>
      <w:r w:rsidR="00A169C3" w:rsidRPr="004B4022">
        <w:rPr>
          <w:rFonts w:ascii="Arial" w:hAnsi="Arial" w:cs="Arial"/>
          <w:szCs w:val="24"/>
        </w:rPr>
        <w:t xml:space="preserve"> 2021</w:t>
      </w:r>
      <w:r w:rsidRPr="004B4022">
        <w:rPr>
          <w:rFonts w:ascii="Arial" w:hAnsi="Arial" w:cs="Arial"/>
          <w:szCs w:val="24"/>
        </w:rPr>
        <w:t>;</w:t>
      </w:r>
    </w:p>
    <w:p w14:paraId="0FDE7ED9" w14:textId="6E3ABAAD" w:rsidR="00200F58" w:rsidRPr="004B4022" w:rsidRDefault="00200F58" w:rsidP="00200F58">
      <w:pPr>
        <w:pStyle w:val="ListParagraph"/>
        <w:numPr>
          <w:ilvl w:val="0"/>
          <w:numId w:val="6"/>
        </w:numPr>
        <w:rPr>
          <w:rFonts w:ascii="Arial" w:hAnsi="Arial" w:cs="Arial"/>
          <w:szCs w:val="24"/>
        </w:rPr>
      </w:pPr>
      <w:r w:rsidRPr="004B4022">
        <w:rPr>
          <w:rFonts w:ascii="Arial" w:hAnsi="Arial" w:cs="Arial"/>
          <w:szCs w:val="24"/>
        </w:rPr>
        <w:t>Customer Services and Standards Policy 20</w:t>
      </w:r>
      <w:r w:rsidR="00A110BF" w:rsidRPr="004B4022">
        <w:rPr>
          <w:rFonts w:ascii="Arial" w:hAnsi="Arial" w:cs="Arial"/>
          <w:szCs w:val="24"/>
        </w:rPr>
        <w:t>21</w:t>
      </w:r>
      <w:r w:rsidRPr="004B4022">
        <w:rPr>
          <w:rFonts w:ascii="Arial" w:hAnsi="Arial" w:cs="Arial"/>
          <w:szCs w:val="24"/>
        </w:rPr>
        <w:t>.</w:t>
      </w:r>
    </w:p>
    <w:p w14:paraId="65B51695" w14:textId="77777777" w:rsidR="00200F58" w:rsidRPr="0034659B" w:rsidRDefault="00200F58" w:rsidP="00200F58">
      <w:pPr>
        <w:pStyle w:val="ListParagraph"/>
        <w:ind w:left="1287"/>
        <w:rPr>
          <w:rFonts w:ascii="Arial" w:hAnsi="Arial" w:cs="Arial"/>
          <w:szCs w:val="24"/>
        </w:rPr>
      </w:pPr>
    </w:p>
    <w:p w14:paraId="6F304478" w14:textId="77777777" w:rsidR="00200F58" w:rsidRPr="0034659B" w:rsidRDefault="00200F58" w:rsidP="00200F58">
      <w:pPr>
        <w:pStyle w:val="ListParagraph"/>
        <w:numPr>
          <w:ilvl w:val="0"/>
          <w:numId w:val="1"/>
        </w:numPr>
        <w:ind w:left="567" w:hanging="567"/>
        <w:rPr>
          <w:rFonts w:ascii="Arial" w:hAnsi="Arial"/>
          <w:b/>
          <w:snapToGrid w:val="0"/>
          <w:u w:val="single"/>
        </w:rPr>
      </w:pPr>
      <w:r w:rsidRPr="0034659B">
        <w:rPr>
          <w:rFonts w:ascii="Arial" w:hAnsi="Arial"/>
          <w:b/>
          <w:snapToGrid w:val="0"/>
          <w:u w:val="single"/>
        </w:rPr>
        <w:t>IMPLICATION FOR SERVICE USERS</w:t>
      </w:r>
    </w:p>
    <w:p w14:paraId="29BF907A" w14:textId="77777777" w:rsidR="00200F58" w:rsidRPr="0044209D" w:rsidRDefault="00200F58" w:rsidP="00200F58">
      <w:pPr>
        <w:pStyle w:val="ListParagraph"/>
        <w:ind w:left="567"/>
        <w:rPr>
          <w:rFonts w:ascii="Arial" w:hAnsi="Arial"/>
          <w:b/>
          <w:snapToGrid w:val="0"/>
          <w:u w:val="single"/>
        </w:rPr>
      </w:pPr>
    </w:p>
    <w:p w14:paraId="35166CEA" w14:textId="291B58A4" w:rsidR="00200F58" w:rsidRPr="0044209D" w:rsidRDefault="00200F58" w:rsidP="00200F58">
      <w:pPr>
        <w:ind w:left="567"/>
        <w:rPr>
          <w:rFonts w:ascii="Arial" w:hAnsi="Arial" w:cs="Arial"/>
          <w:szCs w:val="24"/>
        </w:rPr>
      </w:pPr>
      <w:r w:rsidRPr="0044209D">
        <w:rPr>
          <w:rFonts w:ascii="Arial" w:hAnsi="Arial" w:cs="Arial"/>
          <w:szCs w:val="24"/>
        </w:rPr>
        <w:t>The key implication for tenants is the assurance that the Customer Services Committee does scrutinise performance and has a framework which assists their evaluation of this</w:t>
      </w:r>
      <w:r w:rsidR="00E562CF">
        <w:rPr>
          <w:rFonts w:ascii="Arial" w:hAnsi="Arial" w:cs="Arial"/>
          <w:szCs w:val="24"/>
        </w:rPr>
        <w:t>,</w:t>
      </w:r>
      <w:r w:rsidRPr="0044209D">
        <w:rPr>
          <w:rFonts w:ascii="Arial" w:hAnsi="Arial" w:cs="Arial"/>
          <w:szCs w:val="24"/>
        </w:rPr>
        <w:t xml:space="preserve"> particularly in relation to services to tenants (and other service users).</w:t>
      </w:r>
    </w:p>
    <w:p w14:paraId="385D299F" w14:textId="77777777" w:rsidR="00200F58" w:rsidRPr="0044209D" w:rsidRDefault="00200F58" w:rsidP="00200F58">
      <w:pPr>
        <w:pStyle w:val="ListParagraph"/>
        <w:ind w:left="567"/>
        <w:rPr>
          <w:rFonts w:ascii="Arial" w:hAnsi="Arial" w:cs="Arial"/>
          <w:szCs w:val="24"/>
        </w:rPr>
      </w:pPr>
    </w:p>
    <w:p w14:paraId="69127FB7" w14:textId="77777777" w:rsidR="00200F58" w:rsidRPr="00EF4F40" w:rsidRDefault="00200F58" w:rsidP="00200F58">
      <w:pPr>
        <w:pStyle w:val="ListParagraph"/>
        <w:numPr>
          <w:ilvl w:val="0"/>
          <w:numId w:val="1"/>
        </w:numPr>
        <w:ind w:left="567" w:hanging="567"/>
        <w:rPr>
          <w:rFonts w:ascii="Arial" w:hAnsi="Arial" w:cs="Arial"/>
          <w:b/>
          <w:szCs w:val="24"/>
          <w:u w:val="single"/>
        </w:rPr>
      </w:pPr>
      <w:r w:rsidRPr="00EF4F40">
        <w:rPr>
          <w:rFonts w:ascii="Arial" w:hAnsi="Arial" w:cs="Arial"/>
          <w:b/>
          <w:bCs/>
          <w:szCs w:val="24"/>
          <w:u w:val="single"/>
        </w:rPr>
        <w:t>COMPLIANCE WITH STRATEGIC/DEPARTMENTAL OBJECTIVES</w:t>
      </w:r>
    </w:p>
    <w:p w14:paraId="05BA9036" w14:textId="77777777" w:rsidR="00200F58" w:rsidRPr="00EF4F40" w:rsidRDefault="00200F58" w:rsidP="00200F58">
      <w:pPr>
        <w:pStyle w:val="ListParagraph"/>
        <w:ind w:left="567"/>
        <w:rPr>
          <w:rFonts w:ascii="Arial" w:hAnsi="Arial" w:cs="Arial"/>
          <w:b/>
          <w:szCs w:val="24"/>
          <w:u w:val="single"/>
        </w:rPr>
      </w:pPr>
    </w:p>
    <w:p w14:paraId="613B1D57" w14:textId="77777777" w:rsidR="00200F58" w:rsidRPr="00EF4F40" w:rsidRDefault="00200F58" w:rsidP="00200F58">
      <w:pPr>
        <w:ind w:left="567"/>
        <w:rPr>
          <w:rFonts w:ascii="Arial" w:hAnsi="Arial" w:cs="Arial"/>
          <w:szCs w:val="24"/>
        </w:rPr>
      </w:pPr>
      <w:r w:rsidRPr="00EF4F40">
        <w:rPr>
          <w:rFonts w:ascii="Arial" w:hAnsi="Arial" w:cs="Arial"/>
          <w:szCs w:val="24"/>
        </w:rPr>
        <w:t>This report complies with the following Strategic Objectives;</w:t>
      </w:r>
    </w:p>
    <w:p w14:paraId="33E17583" w14:textId="77777777" w:rsidR="00200F58" w:rsidRPr="00EF4F40" w:rsidRDefault="00200F58" w:rsidP="00200F58">
      <w:pPr>
        <w:ind w:left="567"/>
        <w:rPr>
          <w:rFonts w:ascii="Arial" w:hAnsi="Arial" w:cs="Arial"/>
          <w:szCs w:val="24"/>
        </w:rPr>
      </w:pPr>
    </w:p>
    <w:p w14:paraId="6B65F36F" w14:textId="77777777" w:rsidR="00200F58" w:rsidRPr="00EF4F40" w:rsidRDefault="00200F58" w:rsidP="00200F58">
      <w:pPr>
        <w:pStyle w:val="ListParagraph"/>
        <w:numPr>
          <w:ilvl w:val="0"/>
          <w:numId w:val="7"/>
        </w:numPr>
        <w:rPr>
          <w:rFonts w:ascii="Arial" w:hAnsi="Arial" w:cs="Arial"/>
          <w:szCs w:val="24"/>
        </w:rPr>
      </w:pPr>
      <w:r w:rsidRPr="00EF4F40">
        <w:rPr>
          <w:rFonts w:ascii="Arial" w:hAnsi="Arial" w:cs="Arial"/>
          <w:szCs w:val="24"/>
        </w:rPr>
        <w:t xml:space="preserve">To ensure that the Association’s work is underpinned by effective financial, administrative and management processes set within a framework of effective corporate governance </w:t>
      </w:r>
      <w:r w:rsidRPr="00A110BF">
        <w:rPr>
          <w:rFonts w:ascii="Arial" w:hAnsi="Arial" w:cs="Arial"/>
          <w:b/>
          <w:bCs/>
          <w:i/>
          <w:iCs/>
          <w:szCs w:val="24"/>
        </w:rPr>
        <w:t>(Strategic Objective 5) (Financial Management &amp; Governance)</w:t>
      </w:r>
    </w:p>
    <w:p w14:paraId="4138E927" w14:textId="77777777" w:rsidR="00200F58" w:rsidRPr="00EF4F40" w:rsidRDefault="00200F58" w:rsidP="00200F58">
      <w:pPr>
        <w:pStyle w:val="ListParagraph"/>
        <w:ind w:left="1287"/>
        <w:rPr>
          <w:rFonts w:ascii="Arial" w:hAnsi="Arial" w:cs="Arial"/>
          <w:szCs w:val="24"/>
        </w:rPr>
      </w:pPr>
    </w:p>
    <w:p w14:paraId="3F555283" w14:textId="77777777" w:rsidR="00200F58" w:rsidRPr="00EF4F40" w:rsidRDefault="00200F58" w:rsidP="00200F58">
      <w:pPr>
        <w:pStyle w:val="ListParagraph"/>
        <w:tabs>
          <w:tab w:val="left" w:pos="567"/>
        </w:tabs>
        <w:ind w:left="567"/>
        <w:rPr>
          <w:rFonts w:ascii="Arial" w:hAnsi="Arial" w:cs="Arial"/>
          <w:szCs w:val="24"/>
        </w:rPr>
      </w:pPr>
      <w:r w:rsidRPr="00EF4F40">
        <w:rPr>
          <w:rFonts w:ascii="Arial" w:hAnsi="Arial" w:cs="Arial"/>
          <w:szCs w:val="24"/>
        </w:rPr>
        <w:t>and as a result, will assist compliance with the following;</w:t>
      </w:r>
    </w:p>
    <w:p w14:paraId="474B4128" w14:textId="77777777" w:rsidR="00200F58" w:rsidRPr="00EF4F40" w:rsidRDefault="00200F58" w:rsidP="00200F58">
      <w:pPr>
        <w:pStyle w:val="ListParagraph"/>
        <w:tabs>
          <w:tab w:val="left" w:pos="567"/>
        </w:tabs>
        <w:ind w:left="567"/>
        <w:rPr>
          <w:rFonts w:ascii="Arial" w:hAnsi="Arial" w:cs="Arial"/>
          <w:szCs w:val="24"/>
        </w:rPr>
      </w:pPr>
    </w:p>
    <w:p w14:paraId="2D0F8601" w14:textId="77777777" w:rsidR="00200F58" w:rsidRPr="00EF4F40" w:rsidRDefault="00200F58" w:rsidP="00200F58">
      <w:pPr>
        <w:pStyle w:val="ListParagraph"/>
        <w:numPr>
          <w:ilvl w:val="0"/>
          <w:numId w:val="7"/>
        </w:numPr>
        <w:tabs>
          <w:tab w:val="left" w:pos="567"/>
        </w:tabs>
        <w:rPr>
          <w:rFonts w:ascii="Arial" w:hAnsi="Arial" w:cs="Arial"/>
          <w:szCs w:val="24"/>
        </w:rPr>
      </w:pPr>
      <w:r w:rsidRPr="00EF4F40">
        <w:rPr>
          <w:rFonts w:ascii="Arial" w:hAnsi="Arial" w:cs="Arial"/>
          <w:szCs w:val="24"/>
        </w:rPr>
        <w:t xml:space="preserve">To provide a comprehensive and responsive customer service to tenants, sharing and factored owners which supports sustainable tenancies and delivers customer satisfaction </w:t>
      </w:r>
      <w:r w:rsidRPr="00A110BF">
        <w:rPr>
          <w:rFonts w:ascii="Arial" w:hAnsi="Arial" w:cs="Arial"/>
          <w:b/>
          <w:bCs/>
          <w:i/>
          <w:iCs/>
          <w:szCs w:val="24"/>
        </w:rPr>
        <w:t>(Strategic Objective 2) (Customer Service)</w:t>
      </w:r>
    </w:p>
    <w:p w14:paraId="4794B279" w14:textId="77777777" w:rsidR="00200F58" w:rsidRPr="00EF4F40" w:rsidRDefault="00200F58" w:rsidP="00200F58">
      <w:pPr>
        <w:ind w:left="567"/>
        <w:rPr>
          <w:rFonts w:ascii="Arial" w:hAnsi="Arial" w:cs="Arial"/>
          <w:szCs w:val="24"/>
        </w:rPr>
      </w:pPr>
    </w:p>
    <w:p w14:paraId="2E8FAB31" w14:textId="463CEEA7" w:rsidR="00200F58" w:rsidRPr="00EF4F40" w:rsidRDefault="00200F58" w:rsidP="00200F58">
      <w:pPr>
        <w:pStyle w:val="ListParagraph"/>
        <w:numPr>
          <w:ilvl w:val="0"/>
          <w:numId w:val="1"/>
        </w:numPr>
        <w:ind w:left="567" w:hanging="567"/>
        <w:rPr>
          <w:rFonts w:ascii="Arial" w:hAnsi="Arial" w:cs="Arial"/>
          <w:b/>
          <w:szCs w:val="24"/>
          <w:u w:val="single"/>
        </w:rPr>
      </w:pPr>
      <w:r w:rsidRPr="00EF4F40">
        <w:rPr>
          <w:rFonts w:ascii="Arial" w:hAnsi="Arial" w:cs="Arial"/>
          <w:b/>
          <w:szCs w:val="24"/>
          <w:u w:val="single"/>
        </w:rPr>
        <w:t xml:space="preserve">EQUALITY AND </w:t>
      </w:r>
      <w:r w:rsidR="000C75AE">
        <w:rPr>
          <w:rFonts w:ascii="Arial" w:hAnsi="Arial" w:cs="Arial"/>
          <w:b/>
          <w:szCs w:val="24"/>
          <w:u w:val="single"/>
        </w:rPr>
        <w:t>HUMAN RIGHTS</w:t>
      </w:r>
      <w:r w:rsidRPr="00EF4F40">
        <w:rPr>
          <w:rFonts w:ascii="Arial" w:hAnsi="Arial" w:cs="Arial"/>
          <w:b/>
          <w:szCs w:val="24"/>
          <w:u w:val="single"/>
        </w:rPr>
        <w:t xml:space="preserve"> IMPLICATIONS</w:t>
      </w:r>
    </w:p>
    <w:p w14:paraId="58A74B78" w14:textId="77777777" w:rsidR="00200F58" w:rsidRPr="00EF4F40" w:rsidRDefault="00200F58" w:rsidP="00200F58">
      <w:pPr>
        <w:rPr>
          <w:rFonts w:ascii="Arial" w:hAnsi="Arial" w:cs="Arial"/>
          <w:bCs/>
          <w:szCs w:val="24"/>
        </w:rPr>
      </w:pPr>
    </w:p>
    <w:p w14:paraId="25071E2D" w14:textId="77777777" w:rsidR="00200F58" w:rsidRPr="00EF4F40" w:rsidRDefault="00200F58" w:rsidP="00200F58">
      <w:pPr>
        <w:pStyle w:val="ListParagraph"/>
        <w:numPr>
          <w:ilvl w:val="1"/>
          <w:numId w:val="1"/>
        </w:numPr>
        <w:ind w:left="567" w:hanging="567"/>
        <w:rPr>
          <w:rFonts w:ascii="Arial" w:hAnsi="Arial" w:cs="Arial"/>
          <w:bCs/>
          <w:szCs w:val="24"/>
          <w:u w:val="single"/>
        </w:rPr>
      </w:pPr>
      <w:r w:rsidRPr="00EF4F40">
        <w:rPr>
          <w:rFonts w:ascii="Arial" w:hAnsi="Arial" w:cs="Arial"/>
          <w:bCs/>
          <w:szCs w:val="24"/>
          <w:u w:val="single"/>
        </w:rPr>
        <w:t>Equality Impact Assessment</w:t>
      </w:r>
    </w:p>
    <w:p w14:paraId="79E2DB44" w14:textId="35376C58" w:rsidR="000C75AE" w:rsidRPr="000C75AE" w:rsidRDefault="00200F58" w:rsidP="000C75AE">
      <w:pPr>
        <w:ind w:left="567"/>
        <w:rPr>
          <w:rFonts w:ascii="Arial" w:hAnsi="Arial" w:cs="Arial"/>
          <w:szCs w:val="24"/>
        </w:rPr>
      </w:pPr>
      <w:r w:rsidRPr="00EF4F40">
        <w:rPr>
          <w:rFonts w:ascii="Arial" w:hAnsi="Arial" w:cs="Arial"/>
          <w:szCs w:val="24"/>
        </w:rPr>
        <w:t xml:space="preserve">There are no </w:t>
      </w:r>
      <w:r w:rsidR="000C75AE" w:rsidRPr="000C75AE">
        <w:rPr>
          <w:rFonts w:ascii="Arial" w:hAnsi="Arial" w:cs="Arial"/>
          <w:szCs w:val="24"/>
        </w:rPr>
        <w:t>equality or human rights issues associated with this report. However, it should be noted that all the Associations activities require to comply with the Equalities Act 2010.</w:t>
      </w:r>
    </w:p>
    <w:p w14:paraId="0C0C50D1" w14:textId="77777777" w:rsidR="00200F58" w:rsidRPr="00EF4F40" w:rsidRDefault="00200F58" w:rsidP="00200F58">
      <w:pPr>
        <w:ind w:left="567"/>
        <w:rPr>
          <w:rFonts w:ascii="Arial" w:hAnsi="Arial" w:cs="Arial"/>
          <w:szCs w:val="24"/>
        </w:rPr>
      </w:pPr>
    </w:p>
    <w:p w14:paraId="4F851421" w14:textId="77777777" w:rsidR="00200F58" w:rsidRPr="00EF4F40" w:rsidRDefault="00200F58" w:rsidP="00200F58">
      <w:pPr>
        <w:pStyle w:val="ListParagraph"/>
        <w:numPr>
          <w:ilvl w:val="0"/>
          <w:numId w:val="1"/>
        </w:numPr>
        <w:ind w:left="567" w:hanging="567"/>
        <w:rPr>
          <w:rFonts w:ascii="Arial" w:hAnsi="Arial" w:cs="Arial"/>
          <w:b/>
          <w:szCs w:val="24"/>
          <w:u w:val="single"/>
        </w:rPr>
      </w:pPr>
      <w:r w:rsidRPr="00EF4F40">
        <w:rPr>
          <w:rFonts w:ascii="Arial" w:hAnsi="Arial" w:cs="Arial"/>
          <w:b/>
          <w:szCs w:val="24"/>
          <w:u w:val="single"/>
        </w:rPr>
        <w:t>PUBLICATION SCHEME IMPLICATIONS (FOI)</w:t>
      </w:r>
    </w:p>
    <w:p w14:paraId="3F62044A" w14:textId="77777777" w:rsidR="00200F58" w:rsidRPr="00EF4F40" w:rsidRDefault="00200F58" w:rsidP="00200F58">
      <w:pPr>
        <w:pStyle w:val="ListParagraph"/>
        <w:ind w:left="567"/>
        <w:rPr>
          <w:rFonts w:ascii="Arial" w:hAnsi="Arial" w:cs="Arial"/>
          <w:bCs/>
          <w:szCs w:val="24"/>
        </w:rPr>
      </w:pPr>
    </w:p>
    <w:p w14:paraId="1C52CB2B" w14:textId="5E187E00" w:rsidR="00200F58" w:rsidRDefault="00200F58" w:rsidP="00B5003C">
      <w:pPr>
        <w:pStyle w:val="ListParagraph"/>
        <w:ind w:left="567"/>
        <w:rPr>
          <w:rFonts w:ascii="Arial" w:hAnsi="Arial" w:cs="Arial"/>
          <w:bCs/>
          <w:szCs w:val="24"/>
        </w:rPr>
      </w:pPr>
      <w:r w:rsidRPr="00EF4F40">
        <w:rPr>
          <w:rFonts w:ascii="Arial" w:hAnsi="Arial" w:cs="Arial"/>
          <w:bCs/>
          <w:szCs w:val="24"/>
        </w:rPr>
        <w:t xml:space="preserve">The Associations Complaints and Feedback Report is a public document and therefore forms part of the Publication Scheme. </w:t>
      </w:r>
    </w:p>
    <w:p w14:paraId="6CA6A947" w14:textId="77777777" w:rsidR="00A110BF" w:rsidRPr="00B5003C" w:rsidRDefault="00A110BF" w:rsidP="00B5003C">
      <w:pPr>
        <w:pStyle w:val="ListParagraph"/>
        <w:ind w:left="567"/>
        <w:rPr>
          <w:rFonts w:ascii="Arial" w:hAnsi="Arial" w:cs="Arial"/>
          <w:bCs/>
          <w:szCs w:val="24"/>
        </w:rPr>
      </w:pPr>
    </w:p>
    <w:p w14:paraId="2F48EB84" w14:textId="77777777" w:rsidR="00200F58" w:rsidRPr="00EF4F40" w:rsidRDefault="00200F58" w:rsidP="00200F58">
      <w:pPr>
        <w:pStyle w:val="ListParagraph"/>
        <w:numPr>
          <w:ilvl w:val="0"/>
          <w:numId w:val="1"/>
        </w:numPr>
        <w:ind w:left="567" w:hanging="567"/>
        <w:rPr>
          <w:rFonts w:ascii="Arial" w:hAnsi="Arial" w:cs="Arial"/>
          <w:b/>
          <w:szCs w:val="24"/>
          <w:u w:val="single"/>
        </w:rPr>
      </w:pPr>
      <w:r w:rsidRPr="00EF4F40">
        <w:rPr>
          <w:rFonts w:ascii="Arial" w:hAnsi="Arial" w:cs="Arial"/>
          <w:b/>
          <w:szCs w:val="24"/>
          <w:u w:val="single"/>
        </w:rPr>
        <w:t>COMPLIANCE WITH DATA PROTECTION REGULATIONS (GDPR)</w:t>
      </w:r>
    </w:p>
    <w:p w14:paraId="1B7FF7F4" w14:textId="77777777" w:rsidR="00200F58" w:rsidRPr="00EF4F40" w:rsidRDefault="00200F58" w:rsidP="00200F58">
      <w:pPr>
        <w:ind w:left="567"/>
        <w:rPr>
          <w:rFonts w:ascii="Arial" w:hAnsi="Arial" w:cs="Arial"/>
          <w:bCs/>
          <w:szCs w:val="24"/>
        </w:rPr>
      </w:pPr>
    </w:p>
    <w:p w14:paraId="17580CAE" w14:textId="77777777" w:rsidR="00200F58" w:rsidRPr="00EF4F40" w:rsidRDefault="00200F58" w:rsidP="00200F58">
      <w:pPr>
        <w:ind w:left="567"/>
        <w:rPr>
          <w:rFonts w:ascii="Arial" w:hAnsi="Arial" w:cs="Arial"/>
          <w:szCs w:val="24"/>
        </w:rPr>
      </w:pPr>
      <w:r w:rsidRPr="00EF4F40">
        <w:rPr>
          <w:rFonts w:ascii="Arial" w:hAnsi="Arial" w:cs="Arial"/>
          <w:szCs w:val="24"/>
        </w:rPr>
        <w:t>There are no Data Protection Implications associate with this report.</w:t>
      </w:r>
    </w:p>
    <w:p w14:paraId="27EB3C2A" w14:textId="77777777" w:rsidR="00200F58" w:rsidRDefault="00200F58" w:rsidP="00200F58">
      <w:pPr>
        <w:ind w:left="567"/>
        <w:rPr>
          <w:rFonts w:ascii="Arial" w:hAnsi="Arial" w:cs="Arial"/>
          <w:szCs w:val="24"/>
        </w:rPr>
      </w:pPr>
    </w:p>
    <w:p w14:paraId="13F29905" w14:textId="77777777" w:rsidR="000C75AE" w:rsidRPr="00EF4F40" w:rsidRDefault="000C75AE" w:rsidP="00200F58">
      <w:pPr>
        <w:ind w:left="567"/>
        <w:rPr>
          <w:rFonts w:ascii="Arial" w:hAnsi="Arial" w:cs="Arial"/>
          <w:szCs w:val="24"/>
        </w:rPr>
      </w:pPr>
    </w:p>
    <w:p w14:paraId="066FDFA4" w14:textId="77777777" w:rsidR="00200F58" w:rsidRPr="00EF4F40" w:rsidRDefault="00200F58" w:rsidP="00200F58">
      <w:pPr>
        <w:pStyle w:val="ListParagraph"/>
        <w:numPr>
          <w:ilvl w:val="0"/>
          <w:numId w:val="1"/>
        </w:numPr>
        <w:ind w:left="567" w:hanging="567"/>
        <w:rPr>
          <w:rFonts w:ascii="Arial" w:hAnsi="Arial" w:cs="Arial"/>
          <w:b/>
          <w:szCs w:val="24"/>
          <w:u w:val="single"/>
        </w:rPr>
      </w:pPr>
      <w:r w:rsidRPr="00EF4F40">
        <w:rPr>
          <w:rFonts w:ascii="Arial" w:hAnsi="Arial" w:cs="Arial"/>
          <w:b/>
          <w:szCs w:val="24"/>
          <w:u w:val="single"/>
        </w:rPr>
        <w:t>PRIVACY IMPACT ASSESSMENTS (“PIAs”)</w:t>
      </w:r>
    </w:p>
    <w:p w14:paraId="0CE35BE4" w14:textId="77777777" w:rsidR="00200F58" w:rsidRPr="00EF4F40" w:rsidRDefault="00200F58" w:rsidP="00200F58">
      <w:pPr>
        <w:ind w:firstLine="567"/>
        <w:rPr>
          <w:rFonts w:ascii="Arial" w:hAnsi="Arial" w:cs="Arial"/>
          <w:bCs/>
          <w:szCs w:val="24"/>
        </w:rPr>
      </w:pPr>
    </w:p>
    <w:p w14:paraId="0948EDFB" w14:textId="77777777" w:rsidR="00200F58" w:rsidRPr="00EF4F40" w:rsidRDefault="00200F58" w:rsidP="00200F58">
      <w:pPr>
        <w:ind w:firstLine="567"/>
        <w:rPr>
          <w:rFonts w:ascii="Arial" w:hAnsi="Arial" w:cs="Arial"/>
          <w:bCs/>
          <w:szCs w:val="24"/>
        </w:rPr>
      </w:pPr>
      <w:r w:rsidRPr="00EF4F40">
        <w:rPr>
          <w:rFonts w:ascii="Arial" w:hAnsi="Arial" w:cs="Arial"/>
          <w:bCs/>
          <w:szCs w:val="24"/>
        </w:rPr>
        <w:t xml:space="preserve">The risk of a data breach within this report has been assessed as </w:t>
      </w:r>
      <w:r w:rsidRPr="00EF4F40">
        <w:rPr>
          <w:rFonts w:ascii="Arial" w:hAnsi="Arial" w:cs="Arial"/>
          <w:b/>
          <w:szCs w:val="24"/>
        </w:rPr>
        <w:t>LOW.</w:t>
      </w:r>
    </w:p>
    <w:p w14:paraId="4DDE79D8" w14:textId="77777777" w:rsidR="00200F58" w:rsidRPr="00EF4F40" w:rsidRDefault="00200F58" w:rsidP="00200F58">
      <w:pPr>
        <w:pStyle w:val="ListParagraph"/>
        <w:ind w:left="567"/>
        <w:rPr>
          <w:rFonts w:ascii="Arial" w:hAnsi="Arial" w:cs="Arial"/>
          <w:bCs/>
          <w:szCs w:val="24"/>
        </w:rPr>
      </w:pPr>
    </w:p>
    <w:p w14:paraId="6AF52E21" w14:textId="77777777" w:rsidR="00200F58" w:rsidRPr="00EF4F40" w:rsidRDefault="00200F58" w:rsidP="00200F58">
      <w:pPr>
        <w:pStyle w:val="ListParagraph"/>
        <w:numPr>
          <w:ilvl w:val="0"/>
          <w:numId w:val="1"/>
        </w:numPr>
        <w:ind w:left="567" w:hanging="567"/>
        <w:rPr>
          <w:rFonts w:ascii="Arial" w:hAnsi="Arial" w:cs="Arial"/>
          <w:b/>
          <w:szCs w:val="24"/>
          <w:u w:val="single"/>
        </w:rPr>
      </w:pPr>
      <w:r w:rsidRPr="00EF4F40">
        <w:rPr>
          <w:rFonts w:ascii="Arial" w:hAnsi="Arial" w:cs="Arial"/>
          <w:b/>
          <w:szCs w:val="24"/>
          <w:u w:val="single"/>
        </w:rPr>
        <w:t>CONSULTATION</w:t>
      </w:r>
    </w:p>
    <w:p w14:paraId="5AF79FF2" w14:textId="77777777" w:rsidR="00200F58" w:rsidRPr="00EF4F40" w:rsidRDefault="00200F58" w:rsidP="00200F58">
      <w:pPr>
        <w:pStyle w:val="ListParagraph"/>
        <w:ind w:left="567"/>
        <w:rPr>
          <w:rFonts w:ascii="Arial" w:hAnsi="Arial" w:cs="Arial"/>
          <w:bCs/>
          <w:szCs w:val="24"/>
        </w:rPr>
      </w:pPr>
    </w:p>
    <w:p w14:paraId="68BFFFC5" w14:textId="77777777" w:rsidR="00200F58" w:rsidRDefault="00200F58" w:rsidP="00200F58">
      <w:pPr>
        <w:ind w:left="567"/>
        <w:rPr>
          <w:rFonts w:ascii="Arial" w:hAnsi="Arial" w:cs="Arial"/>
          <w:szCs w:val="24"/>
        </w:rPr>
      </w:pPr>
      <w:r w:rsidRPr="00EF4F40">
        <w:rPr>
          <w:rFonts w:ascii="Arial" w:hAnsi="Arial" w:cs="Arial"/>
          <w:szCs w:val="24"/>
        </w:rPr>
        <w:t>The Senior Management Team has been consulted in the preparation of this report</w:t>
      </w:r>
    </w:p>
    <w:p w14:paraId="28C4283F" w14:textId="77777777" w:rsidR="00200F58" w:rsidRPr="006B1138" w:rsidRDefault="00200F58" w:rsidP="00200F58">
      <w:pPr>
        <w:ind w:left="567"/>
        <w:rPr>
          <w:rFonts w:ascii="Arial" w:hAnsi="Arial" w:cs="Arial"/>
          <w:szCs w:val="24"/>
        </w:rPr>
      </w:pPr>
    </w:p>
    <w:tbl>
      <w:tblPr>
        <w:tblStyle w:val="TableGrid"/>
        <w:tblW w:w="8647" w:type="dxa"/>
        <w:tblInd w:w="675" w:type="dxa"/>
        <w:tblLook w:val="04A0" w:firstRow="1" w:lastRow="0" w:firstColumn="1" w:lastColumn="0" w:noHBand="0" w:noVBand="1"/>
      </w:tblPr>
      <w:tblGrid>
        <w:gridCol w:w="3006"/>
        <w:gridCol w:w="2126"/>
        <w:gridCol w:w="3515"/>
      </w:tblGrid>
      <w:tr w:rsidR="00200F58" w:rsidRPr="003B0045" w14:paraId="69008B09" w14:textId="77777777" w:rsidTr="00B5003C">
        <w:tc>
          <w:tcPr>
            <w:tcW w:w="3006" w:type="dxa"/>
            <w:shd w:val="clear" w:color="auto" w:fill="D9D9D9" w:themeFill="background1" w:themeFillShade="D9"/>
          </w:tcPr>
          <w:p w14:paraId="0848C026" w14:textId="77777777" w:rsidR="00200F58" w:rsidRPr="003B0045" w:rsidRDefault="00200F58" w:rsidP="00ED4FE4">
            <w:pPr>
              <w:rPr>
                <w:rFonts w:ascii="Arial" w:hAnsi="Arial" w:cs="Arial"/>
                <w:b/>
                <w:sz w:val="24"/>
                <w:szCs w:val="24"/>
              </w:rPr>
            </w:pPr>
            <w:r w:rsidRPr="003B0045">
              <w:rPr>
                <w:rFonts w:ascii="Arial" w:hAnsi="Arial" w:cs="Arial"/>
                <w:b/>
                <w:sz w:val="24"/>
                <w:szCs w:val="24"/>
              </w:rPr>
              <w:t>Prepared By</w:t>
            </w:r>
          </w:p>
        </w:tc>
        <w:tc>
          <w:tcPr>
            <w:tcW w:w="2126" w:type="dxa"/>
            <w:shd w:val="clear" w:color="auto" w:fill="D9D9D9" w:themeFill="background1" w:themeFillShade="D9"/>
          </w:tcPr>
          <w:p w14:paraId="6A001B50" w14:textId="77777777" w:rsidR="00200F58" w:rsidRPr="003B0045" w:rsidRDefault="00200F58" w:rsidP="00ED4FE4">
            <w:pPr>
              <w:rPr>
                <w:rFonts w:ascii="Arial" w:hAnsi="Arial" w:cs="Arial"/>
                <w:b/>
                <w:sz w:val="24"/>
                <w:szCs w:val="24"/>
              </w:rPr>
            </w:pPr>
            <w:r w:rsidRPr="003B0045">
              <w:rPr>
                <w:rFonts w:ascii="Arial" w:hAnsi="Arial" w:cs="Arial"/>
                <w:b/>
                <w:sz w:val="24"/>
                <w:szCs w:val="24"/>
              </w:rPr>
              <w:t>Date</w:t>
            </w:r>
          </w:p>
        </w:tc>
        <w:tc>
          <w:tcPr>
            <w:tcW w:w="3515" w:type="dxa"/>
            <w:shd w:val="clear" w:color="auto" w:fill="D9D9D9" w:themeFill="background1" w:themeFillShade="D9"/>
          </w:tcPr>
          <w:p w14:paraId="2124BE08" w14:textId="77777777" w:rsidR="00200F58" w:rsidRPr="003B0045" w:rsidRDefault="00200F58" w:rsidP="00ED4FE4">
            <w:pPr>
              <w:rPr>
                <w:rFonts w:ascii="Arial" w:hAnsi="Arial" w:cs="Arial"/>
                <w:b/>
                <w:sz w:val="24"/>
                <w:szCs w:val="24"/>
              </w:rPr>
            </w:pPr>
            <w:r w:rsidRPr="003B0045">
              <w:rPr>
                <w:rFonts w:ascii="Arial" w:hAnsi="Arial" w:cs="Arial"/>
                <w:b/>
                <w:sz w:val="24"/>
                <w:szCs w:val="24"/>
              </w:rPr>
              <w:t>Signature</w:t>
            </w:r>
          </w:p>
          <w:p w14:paraId="199AF6F3" w14:textId="77777777" w:rsidR="00200F58" w:rsidRPr="003B0045" w:rsidRDefault="00200F58" w:rsidP="00ED4FE4">
            <w:pPr>
              <w:rPr>
                <w:rFonts w:ascii="Arial" w:hAnsi="Arial" w:cs="Arial"/>
                <w:b/>
                <w:sz w:val="24"/>
                <w:szCs w:val="24"/>
              </w:rPr>
            </w:pPr>
          </w:p>
        </w:tc>
      </w:tr>
      <w:tr w:rsidR="00200F58" w:rsidRPr="003B0045" w14:paraId="256F1972" w14:textId="77777777" w:rsidTr="00B5003C">
        <w:tc>
          <w:tcPr>
            <w:tcW w:w="3006" w:type="dxa"/>
          </w:tcPr>
          <w:p w14:paraId="54E2D267" w14:textId="77777777" w:rsidR="00200F58" w:rsidRPr="003B0045" w:rsidRDefault="00200F58" w:rsidP="00ED4FE4">
            <w:pPr>
              <w:rPr>
                <w:rFonts w:ascii="Arial" w:hAnsi="Arial" w:cs="Arial"/>
                <w:sz w:val="24"/>
                <w:szCs w:val="24"/>
              </w:rPr>
            </w:pPr>
            <w:r w:rsidRPr="003B0045">
              <w:rPr>
                <w:rFonts w:ascii="Arial" w:hAnsi="Arial" w:cs="Arial"/>
                <w:sz w:val="24"/>
                <w:szCs w:val="24"/>
              </w:rPr>
              <w:t>Andrew Gibb</w:t>
            </w:r>
          </w:p>
          <w:p w14:paraId="1CAE961B" w14:textId="47D26E60" w:rsidR="00200F58" w:rsidRPr="003B0045" w:rsidRDefault="00900809" w:rsidP="00ED4FE4">
            <w:pPr>
              <w:rPr>
                <w:rFonts w:ascii="Arial" w:hAnsi="Arial" w:cs="Arial"/>
                <w:sz w:val="24"/>
                <w:szCs w:val="24"/>
              </w:rPr>
            </w:pPr>
            <w:r w:rsidRPr="003B0045">
              <w:rPr>
                <w:rFonts w:ascii="Arial" w:hAnsi="Arial" w:cs="Arial"/>
                <w:sz w:val="24"/>
                <w:szCs w:val="24"/>
              </w:rPr>
              <w:t>Director of Property Services</w:t>
            </w:r>
          </w:p>
          <w:p w14:paraId="70C157BB" w14:textId="77777777" w:rsidR="00200F58" w:rsidRPr="003B0045" w:rsidRDefault="00200F58" w:rsidP="00ED4FE4">
            <w:pPr>
              <w:rPr>
                <w:rFonts w:ascii="Arial" w:hAnsi="Arial" w:cs="Arial"/>
                <w:sz w:val="24"/>
                <w:szCs w:val="24"/>
              </w:rPr>
            </w:pPr>
          </w:p>
        </w:tc>
        <w:tc>
          <w:tcPr>
            <w:tcW w:w="2126" w:type="dxa"/>
          </w:tcPr>
          <w:p w14:paraId="444F9D8A" w14:textId="4E106D0F" w:rsidR="00200F58" w:rsidRPr="003B0045" w:rsidRDefault="005D195D" w:rsidP="00ED4FE4">
            <w:pPr>
              <w:rPr>
                <w:rFonts w:ascii="Arial" w:hAnsi="Arial" w:cs="Arial"/>
                <w:sz w:val="24"/>
                <w:szCs w:val="24"/>
              </w:rPr>
            </w:pPr>
            <w:r>
              <w:rPr>
                <w:rFonts w:ascii="Arial" w:hAnsi="Arial" w:cs="Arial"/>
                <w:sz w:val="24"/>
                <w:szCs w:val="24"/>
              </w:rPr>
              <w:t>1</w:t>
            </w:r>
            <w:r w:rsidR="00622E1C">
              <w:rPr>
                <w:rFonts w:ascii="Arial" w:hAnsi="Arial" w:cs="Arial"/>
                <w:sz w:val="24"/>
                <w:szCs w:val="24"/>
              </w:rPr>
              <w:t>3</w:t>
            </w:r>
            <w:r w:rsidRPr="005D195D">
              <w:rPr>
                <w:rFonts w:ascii="Arial" w:hAnsi="Arial" w:cs="Arial"/>
                <w:sz w:val="24"/>
                <w:szCs w:val="24"/>
                <w:vertAlign w:val="superscript"/>
              </w:rPr>
              <w:t>th</w:t>
            </w:r>
            <w:r>
              <w:rPr>
                <w:rFonts w:ascii="Arial" w:hAnsi="Arial" w:cs="Arial"/>
                <w:sz w:val="24"/>
                <w:szCs w:val="24"/>
              </w:rPr>
              <w:t xml:space="preserve"> February 2025</w:t>
            </w:r>
          </w:p>
        </w:tc>
        <w:tc>
          <w:tcPr>
            <w:tcW w:w="3515" w:type="dxa"/>
          </w:tcPr>
          <w:p w14:paraId="1F6FAA39" w14:textId="77777777" w:rsidR="00200F58" w:rsidRPr="003B0045" w:rsidRDefault="00200F58" w:rsidP="00B5003C">
            <w:pPr>
              <w:jc w:val="center"/>
              <w:rPr>
                <w:rFonts w:ascii="Arial" w:hAnsi="Arial" w:cs="Arial"/>
                <w:sz w:val="24"/>
                <w:szCs w:val="24"/>
              </w:rPr>
            </w:pPr>
            <w:r w:rsidRPr="003B0045">
              <w:rPr>
                <w:noProof/>
                <w:szCs w:val="24"/>
                <w:lang w:eastAsia="en-GB"/>
              </w:rPr>
              <w:drawing>
                <wp:inline distT="0" distB="0" distL="0" distR="0" wp14:anchorId="72737163" wp14:editId="1669819F">
                  <wp:extent cx="1019175" cy="49260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760" r="5650" b="28516"/>
                          <a:stretch/>
                        </pic:blipFill>
                        <pic:spPr bwMode="auto">
                          <a:xfrm>
                            <a:off x="0" y="0"/>
                            <a:ext cx="1038294" cy="501843"/>
                          </a:xfrm>
                          <a:prstGeom prst="rect">
                            <a:avLst/>
                          </a:prstGeom>
                          <a:noFill/>
                          <a:ln>
                            <a:noFill/>
                          </a:ln>
                          <a:extLst>
                            <a:ext uri="{53640926-AAD7-44D8-BBD7-CCE9431645EC}">
                              <a14:shadowObscured xmlns:a14="http://schemas.microsoft.com/office/drawing/2010/main"/>
                            </a:ext>
                          </a:extLst>
                        </pic:spPr>
                      </pic:pic>
                    </a:graphicData>
                  </a:graphic>
                </wp:inline>
              </w:drawing>
            </w:r>
          </w:p>
          <w:p w14:paraId="7D3CED78" w14:textId="689E6403" w:rsidR="000D111B" w:rsidRPr="003B0045" w:rsidRDefault="000D111B" w:rsidP="00B5003C">
            <w:pPr>
              <w:jc w:val="center"/>
              <w:rPr>
                <w:rFonts w:ascii="Arial" w:hAnsi="Arial" w:cs="Arial"/>
                <w:sz w:val="24"/>
                <w:szCs w:val="24"/>
              </w:rPr>
            </w:pPr>
          </w:p>
        </w:tc>
      </w:tr>
    </w:tbl>
    <w:p w14:paraId="322FDFD7" w14:textId="77777777" w:rsidR="00200F58" w:rsidRPr="00356DA1" w:rsidRDefault="00200F58" w:rsidP="00200F58">
      <w:pPr>
        <w:rPr>
          <w:rFonts w:ascii="Arial" w:hAnsi="Arial" w:cs="Arial"/>
          <w:b/>
          <w:szCs w:val="24"/>
        </w:rPr>
      </w:pPr>
    </w:p>
    <w:p w14:paraId="438A3C92" w14:textId="77777777" w:rsidR="008174D4" w:rsidRDefault="008174D4"/>
    <w:sectPr w:rsidR="008174D4" w:rsidSect="00B5003C">
      <w:headerReference w:type="even" r:id="rId12"/>
      <w:headerReference w:type="default" r:id="rId13"/>
      <w:footerReference w:type="even" r:id="rId14"/>
      <w:footerReference w:type="default" r:id="rId15"/>
      <w:headerReference w:type="first" r:id="rId16"/>
      <w:footerReference w:type="first" r:id="rId17"/>
      <w:pgSz w:w="11906" w:h="16838"/>
      <w:pgMar w:top="1021"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880E" w14:textId="77777777" w:rsidR="00C76D7B" w:rsidRDefault="00A72D01">
      <w:r>
        <w:separator/>
      </w:r>
    </w:p>
  </w:endnote>
  <w:endnote w:type="continuationSeparator" w:id="0">
    <w:p w14:paraId="0E63C765" w14:textId="77777777" w:rsidR="00C76D7B" w:rsidRDefault="00A7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79CE" w14:textId="77777777" w:rsidR="00A7256B" w:rsidRDefault="00A72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286973"/>
      <w:docPartObj>
        <w:docPartGallery w:val="Page Numbers (Bottom of Page)"/>
        <w:docPartUnique/>
      </w:docPartObj>
    </w:sdtPr>
    <w:sdtEndPr>
      <w:rPr>
        <w:noProof/>
      </w:rPr>
    </w:sdtEndPr>
    <w:sdtContent>
      <w:p w14:paraId="07A16E60" w14:textId="77777777" w:rsidR="003B0045" w:rsidRDefault="00200F5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57140E39" w14:textId="77777777" w:rsidR="003B0045" w:rsidRDefault="003B0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B375" w14:textId="77777777" w:rsidR="00A7256B" w:rsidRDefault="00A72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453B" w14:textId="77777777" w:rsidR="00C76D7B" w:rsidRDefault="00A72D01">
      <w:r>
        <w:separator/>
      </w:r>
    </w:p>
  </w:footnote>
  <w:footnote w:type="continuationSeparator" w:id="0">
    <w:p w14:paraId="3D356109" w14:textId="77777777" w:rsidR="00C76D7B" w:rsidRDefault="00A7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B568" w14:textId="393639A2" w:rsidR="003B0045" w:rsidRDefault="00200F58">
    <w:pPr>
      <w:pStyle w:val="Header"/>
    </w:pPr>
    <w:r>
      <w:rPr>
        <w:noProof/>
      </w:rPr>
      <mc:AlternateContent>
        <mc:Choice Requires="wps">
          <w:drawing>
            <wp:anchor distT="0" distB="0" distL="114300" distR="114300" simplePos="0" relativeHeight="251659264" behindDoc="1" locked="0" layoutInCell="0" allowOverlap="1" wp14:anchorId="7AB189A0" wp14:editId="054DD9B3">
              <wp:simplePos x="0" y="0"/>
              <wp:positionH relativeFrom="margin">
                <wp:align>center</wp:align>
              </wp:positionH>
              <wp:positionV relativeFrom="margin">
                <wp:align>center</wp:align>
              </wp:positionV>
              <wp:extent cx="5945505" cy="2378075"/>
              <wp:effectExtent l="0" t="1514475" r="0" b="13747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5505" cy="2378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E1C7DD" w14:textId="77777777" w:rsidR="00200F58" w:rsidRDefault="00200F58" w:rsidP="00200F58">
                          <w:pPr>
                            <w:jc w:val="center"/>
                            <w:rPr>
                              <w:szCs w:val="24"/>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B189A0" id="_x0000_t202" coordsize="21600,21600" o:spt="202" path="m,l,21600r21600,l21600,xe">
              <v:stroke joinstyle="miter"/>
              <v:path gradientshapeok="t" o:connecttype="rect"/>
            </v:shapetype>
            <v:shape id="Text Box 4" o:spid="_x0000_s1026" type="#_x0000_t202" style="position:absolute;margin-left:0;margin-top:0;width:468.15pt;height:187.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" o:allowincell="f" filled="f" stroked="f">
              <v:stroke joinstyle="round"/>
              <o:lock v:ext="edit" shapetype="t"/>
              <v:textbox style="mso-fit-shape-to-text:t">
                <w:txbxContent>
                  <w:p w14:paraId="1EE1C7DD" w14:textId="77777777" w:rsidR="00200F58" w:rsidRDefault="00200F58" w:rsidP="00200F58">
                    <w:pPr>
                      <w:jc w:val="center"/>
                      <w:rPr>
                        <w:szCs w:val="24"/>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AF51" w14:textId="704DD397" w:rsidR="00A7256B" w:rsidRDefault="00A72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08CE" w14:textId="71A74606" w:rsidR="003B0045" w:rsidRDefault="003B0045" w:rsidP="00330F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4A72"/>
    <w:multiLevelType w:val="hybridMultilevel"/>
    <w:tmpl w:val="86DABDCA"/>
    <w:lvl w:ilvl="0" w:tplc="0809000D">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0C29380B"/>
    <w:multiLevelType w:val="multilevel"/>
    <w:tmpl w:val="89C6E29E"/>
    <w:lvl w:ilvl="0">
      <w:start w:val="1"/>
      <w:numFmt w:val="decimal"/>
      <w:lvlText w:val="%1.0"/>
      <w:lvlJc w:val="left"/>
      <w:pPr>
        <w:ind w:left="927" w:hanging="360"/>
      </w:pPr>
      <w:rPr>
        <w:rFonts w:hint="default"/>
        <w:b/>
      </w:rPr>
    </w:lvl>
    <w:lvl w:ilvl="1">
      <w:start w:val="1"/>
      <w:numFmt w:val="decimal"/>
      <w:lvlText w:val="%1.%2"/>
      <w:lvlJc w:val="left"/>
      <w:pPr>
        <w:ind w:left="927" w:hanging="360"/>
      </w:pPr>
      <w:rPr>
        <w:rFonts w:hint="default"/>
        <w:b w:val="0"/>
        <w:i w:val="0"/>
      </w:rPr>
    </w:lvl>
    <w:lvl w:ilvl="2">
      <w:start w:val="1"/>
      <w:numFmt w:val="decimal"/>
      <w:lvlText w:val="%1.%2.%3"/>
      <w:lvlJc w:val="left"/>
      <w:pPr>
        <w:ind w:left="1287" w:hanging="720"/>
      </w:pPr>
      <w:rPr>
        <w:rFonts w:hint="default"/>
      </w:rPr>
    </w:lvl>
    <w:lvl w:ilvl="3">
      <w:start w:val="1"/>
      <w:numFmt w:val="bullet"/>
      <w:lvlText w:val=""/>
      <w:lvlJc w:val="left"/>
      <w:pPr>
        <w:ind w:left="1287" w:hanging="720"/>
      </w:pPr>
      <w:rPr>
        <w:rFonts w:ascii="Symbol" w:hAnsi="Symbol"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 w15:restartNumberingAfterBreak="0">
    <w:nsid w:val="16B0137F"/>
    <w:multiLevelType w:val="hybridMultilevel"/>
    <w:tmpl w:val="61AED486"/>
    <w:lvl w:ilvl="0" w:tplc="0809000D">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6C18E8"/>
    <w:multiLevelType w:val="hybridMultilevel"/>
    <w:tmpl w:val="6AC2FEE6"/>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C904098"/>
    <w:multiLevelType w:val="hybridMultilevel"/>
    <w:tmpl w:val="9154CE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078B0"/>
    <w:multiLevelType w:val="hybridMultilevel"/>
    <w:tmpl w:val="52E0EB62"/>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4232755"/>
    <w:multiLevelType w:val="hybridMultilevel"/>
    <w:tmpl w:val="6308C9AE"/>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6E33DF5"/>
    <w:multiLevelType w:val="hybridMultilevel"/>
    <w:tmpl w:val="3BCEBBB6"/>
    <w:lvl w:ilvl="0" w:tplc="0809000D">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8" w15:restartNumberingAfterBreak="0">
    <w:nsid w:val="542558A3"/>
    <w:multiLevelType w:val="hybridMultilevel"/>
    <w:tmpl w:val="4BB4C3F4"/>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8691A7C"/>
    <w:multiLevelType w:val="hybridMultilevel"/>
    <w:tmpl w:val="5C58127E"/>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708378695">
    <w:abstractNumId w:val="1"/>
  </w:num>
  <w:num w:numId="2" w16cid:durableId="861672840">
    <w:abstractNumId w:val="8"/>
  </w:num>
  <w:num w:numId="3" w16cid:durableId="750200531">
    <w:abstractNumId w:val="7"/>
  </w:num>
  <w:num w:numId="4" w16cid:durableId="1378626105">
    <w:abstractNumId w:val="0"/>
  </w:num>
  <w:num w:numId="5" w16cid:durableId="313527825">
    <w:abstractNumId w:val="2"/>
  </w:num>
  <w:num w:numId="6" w16cid:durableId="1133257234">
    <w:abstractNumId w:val="9"/>
  </w:num>
  <w:num w:numId="7" w16cid:durableId="1745371540">
    <w:abstractNumId w:val="5"/>
  </w:num>
  <w:num w:numId="8" w16cid:durableId="1460562818">
    <w:abstractNumId w:val="4"/>
  </w:num>
  <w:num w:numId="9" w16cid:durableId="678777898">
    <w:abstractNumId w:val="3"/>
  </w:num>
  <w:num w:numId="10" w16cid:durableId="1072117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58"/>
    <w:rsid w:val="0000094E"/>
    <w:rsid w:val="00015BDE"/>
    <w:rsid w:val="000228BA"/>
    <w:rsid w:val="000357A2"/>
    <w:rsid w:val="0003744A"/>
    <w:rsid w:val="0005749C"/>
    <w:rsid w:val="000575E6"/>
    <w:rsid w:val="00076F89"/>
    <w:rsid w:val="00081D2D"/>
    <w:rsid w:val="000945BE"/>
    <w:rsid w:val="000A18A1"/>
    <w:rsid w:val="000A2DD5"/>
    <w:rsid w:val="000C75AE"/>
    <w:rsid w:val="000D02BC"/>
    <w:rsid w:val="000D0E60"/>
    <w:rsid w:val="000D111B"/>
    <w:rsid w:val="000D3681"/>
    <w:rsid w:val="000E56A7"/>
    <w:rsid w:val="001002B7"/>
    <w:rsid w:val="00125A04"/>
    <w:rsid w:val="00137FC1"/>
    <w:rsid w:val="0015088B"/>
    <w:rsid w:val="00187F8B"/>
    <w:rsid w:val="0019224D"/>
    <w:rsid w:val="001C3518"/>
    <w:rsid w:val="001D3C41"/>
    <w:rsid w:val="00200F58"/>
    <w:rsid w:val="00213AA4"/>
    <w:rsid w:val="00224344"/>
    <w:rsid w:val="00224D65"/>
    <w:rsid w:val="002270A1"/>
    <w:rsid w:val="00235AC7"/>
    <w:rsid w:val="00244965"/>
    <w:rsid w:val="002468A0"/>
    <w:rsid w:val="0024783A"/>
    <w:rsid w:val="0026160B"/>
    <w:rsid w:val="002620CA"/>
    <w:rsid w:val="002772AC"/>
    <w:rsid w:val="002B1DCC"/>
    <w:rsid w:val="002D0F47"/>
    <w:rsid w:val="002D782B"/>
    <w:rsid w:val="002F3496"/>
    <w:rsid w:val="002F3E5F"/>
    <w:rsid w:val="002F50DD"/>
    <w:rsid w:val="00300B98"/>
    <w:rsid w:val="0032503F"/>
    <w:rsid w:val="00337198"/>
    <w:rsid w:val="00347A4D"/>
    <w:rsid w:val="00350D15"/>
    <w:rsid w:val="00353FEE"/>
    <w:rsid w:val="003843D1"/>
    <w:rsid w:val="00393384"/>
    <w:rsid w:val="003A0772"/>
    <w:rsid w:val="003A2FCC"/>
    <w:rsid w:val="003B0045"/>
    <w:rsid w:val="003D5059"/>
    <w:rsid w:val="003F7BD5"/>
    <w:rsid w:val="00403079"/>
    <w:rsid w:val="00405497"/>
    <w:rsid w:val="0040581C"/>
    <w:rsid w:val="00410B79"/>
    <w:rsid w:val="00411934"/>
    <w:rsid w:val="00425B31"/>
    <w:rsid w:val="00435E6E"/>
    <w:rsid w:val="00462C35"/>
    <w:rsid w:val="004656B7"/>
    <w:rsid w:val="00484F0C"/>
    <w:rsid w:val="00494731"/>
    <w:rsid w:val="00497AD5"/>
    <w:rsid w:val="004A0D47"/>
    <w:rsid w:val="004A204A"/>
    <w:rsid w:val="004B4022"/>
    <w:rsid w:val="004C3FD3"/>
    <w:rsid w:val="004C4DFC"/>
    <w:rsid w:val="004D246B"/>
    <w:rsid w:val="00567ACB"/>
    <w:rsid w:val="00575609"/>
    <w:rsid w:val="00583B5B"/>
    <w:rsid w:val="005A1388"/>
    <w:rsid w:val="005C46C8"/>
    <w:rsid w:val="005D1880"/>
    <w:rsid w:val="005D195D"/>
    <w:rsid w:val="005F393B"/>
    <w:rsid w:val="00614BCC"/>
    <w:rsid w:val="00622E1C"/>
    <w:rsid w:val="00623F8B"/>
    <w:rsid w:val="00626C4F"/>
    <w:rsid w:val="00630CB0"/>
    <w:rsid w:val="00632E38"/>
    <w:rsid w:val="00643F33"/>
    <w:rsid w:val="00650BAA"/>
    <w:rsid w:val="00661C5B"/>
    <w:rsid w:val="0066353B"/>
    <w:rsid w:val="006656B6"/>
    <w:rsid w:val="006804CB"/>
    <w:rsid w:val="00684FE1"/>
    <w:rsid w:val="006901A7"/>
    <w:rsid w:val="006A488B"/>
    <w:rsid w:val="006D7506"/>
    <w:rsid w:val="006E415D"/>
    <w:rsid w:val="00711778"/>
    <w:rsid w:val="00712A55"/>
    <w:rsid w:val="0071304C"/>
    <w:rsid w:val="007812F2"/>
    <w:rsid w:val="007A46CA"/>
    <w:rsid w:val="007C0429"/>
    <w:rsid w:val="007C5502"/>
    <w:rsid w:val="007D7F6A"/>
    <w:rsid w:val="007F543C"/>
    <w:rsid w:val="008174D4"/>
    <w:rsid w:val="008428F9"/>
    <w:rsid w:val="00845C1F"/>
    <w:rsid w:val="00851B0A"/>
    <w:rsid w:val="00866B92"/>
    <w:rsid w:val="0088324A"/>
    <w:rsid w:val="008A37F3"/>
    <w:rsid w:val="008B0A4F"/>
    <w:rsid w:val="008E3610"/>
    <w:rsid w:val="00900809"/>
    <w:rsid w:val="00902E06"/>
    <w:rsid w:val="0091417C"/>
    <w:rsid w:val="009265AD"/>
    <w:rsid w:val="0092726D"/>
    <w:rsid w:val="00944A0B"/>
    <w:rsid w:val="00950A83"/>
    <w:rsid w:val="0097124E"/>
    <w:rsid w:val="009722C7"/>
    <w:rsid w:val="00985D20"/>
    <w:rsid w:val="0099670A"/>
    <w:rsid w:val="009C5CCE"/>
    <w:rsid w:val="009E0855"/>
    <w:rsid w:val="009E5BDF"/>
    <w:rsid w:val="009E6E48"/>
    <w:rsid w:val="00A0102B"/>
    <w:rsid w:val="00A110BF"/>
    <w:rsid w:val="00A169C3"/>
    <w:rsid w:val="00A16D62"/>
    <w:rsid w:val="00A268B9"/>
    <w:rsid w:val="00A31CEB"/>
    <w:rsid w:val="00A42D99"/>
    <w:rsid w:val="00A624CA"/>
    <w:rsid w:val="00A65B3F"/>
    <w:rsid w:val="00A7256B"/>
    <w:rsid w:val="00A72D01"/>
    <w:rsid w:val="00A97DF8"/>
    <w:rsid w:val="00AC049B"/>
    <w:rsid w:val="00AD168C"/>
    <w:rsid w:val="00AE6ECF"/>
    <w:rsid w:val="00AF1DAD"/>
    <w:rsid w:val="00B15F42"/>
    <w:rsid w:val="00B234B7"/>
    <w:rsid w:val="00B372DC"/>
    <w:rsid w:val="00B5003C"/>
    <w:rsid w:val="00B60EAE"/>
    <w:rsid w:val="00BA3E91"/>
    <w:rsid w:val="00BB2B1D"/>
    <w:rsid w:val="00BB2E2D"/>
    <w:rsid w:val="00BB3703"/>
    <w:rsid w:val="00BC39EB"/>
    <w:rsid w:val="00BC5061"/>
    <w:rsid w:val="00BD4C6D"/>
    <w:rsid w:val="00BE105F"/>
    <w:rsid w:val="00BE3B3E"/>
    <w:rsid w:val="00BF1973"/>
    <w:rsid w:val="00C16EE5"/>
    <w:rsid w:val="00C22EE1"/>
    <w:rsid w:val="00C300E1"/>
    <w:rsid w:val="00C75D3A"/>
    <w:rsid w:val="00C76849"/>
    <w:rsid w:val="00C76D7B"/>
    <w:rsid w:val="00C86285"/>
    <w:rsid w:val="00CA26E1"/>
    <w:rsid w:val="00CA2CA6"/>
    <w:rsid w:val="00CD04F1"/>
    <w:rsid w:val="00CD11B9"/>
    <w:rsid w:val="00CF626B"/>
    <w:rsid w:val="00CF748D"/>
    <w:rsid w:val="00D002E8"/>
    <w:rsid w:val="00D2056A"/>
    <w:rsid w:val="00D319DE"/>
    <w:rsid w:val="00D31EFF"/>
    <w:rsid w:val="00D44F94"/>
    <w:rsid w:val="00D50E27"/>
    <w:rsid w:val="00D55420"/>
    <w:rsid w:val="00D62340"/>
    <w:rsid w:val="00D73999"/>
    <w:rsid w:val="00D82FEF"/>
    <w:rsid w:val="00DA0665"/>
    <w:rsid w:val="00DB3055"/>
    <w:rsid w:val="00DE73A9"/>
    <w:rsid w:val="00DF2F3E"/>
    <w:rsid w:val="00E17D3A"/>
    <w:rsid w:val="00E562CF"/>
    <w:rsid w:val="00E70E0C"/>
    <w:rsid w:val="00E81576"/>
    <w:rsid w:val="00E83198"/>
    <w:rsid w:val="00EC36E1"/>
    <w:rsid w:val="00ED2D5A"/>
    <w:rsid w:val="00ED41AC"/>
    <w:rsid w:val="00ED54DD"/>
    <w:rsid w:val="00EE0C52"/>
    <w:rsid w:val="00EF272C"/>
    <w:rsid w:val="00EF734C"/>
    <w:rsid w:val="00F05364"/>
    <w:rsid w:val="00F11FFE"/>
    <w:rsid w:val="00F13EBE"/>
    <w:rsid w:val="00F212C8"/>
    <w:rsid w:val="00F46DC9"/>
    <w:rsid w:val="00F57C27"/>
    <w:rsid w:val="00F64591"/>
    <w:rsid w:val="00F651EF"/>
    <w:rsid w:val="00F65567"/>
    <w:rsid w:val="00F656EC"/>
    <w:rsid w:val="00F726B0"/>
    <w:rsid w:val="00F756E6"/>
    <w:rsid w:val="00F843F3"/>
    <w:rsid w:val="00F85CA1"/>
    <w:rsid w:val="00FA5C93"/>
    <w:rsid w:val="00FC4DE1"/>
    <w:rsid w:val="00FE000F"/>
    <w:rsid w:val="00FF4EF2"/>
    <w:rsid w:val="00FF7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E872F"/>
  <w15:chartTrackingRefBased/>
  <w15:docId w15:val="{8193DC34-1496-483C-83B9-6CDDFF19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58"/>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0F58"/>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00F58"/>
    <w:pPr>
      <w:ind w:left="720"/>
      <w:contextualSpacing/>
    </w:pPr>
  </w:style>
  <w:style w:type="paragraph" w:styleId="Header">
    <w:name w:val="header"/>
    <w:basedOn w:val="Normal"/>
    <w:link w:val="HeaderChar"/>
    <w:uiPriority w:val="99"/>
    <w:unhideWhenUsed/>
    <w:rsid w:val="00200F58"/>
    <w:pPr>
      <w:tabs>
        <w:tab w:val="center" w:pos="4513"/>
        <w:tab w:val="right" w:pos="9026"/>
      </w:tabs>
    </w:pPr>
  </w:style>
  <w:style w:type="character" w:customStyle="1" w:styleId="HeaderChar">
    <w:name w:val="Header Char"/>
    <w:basedOn w:val="DefaultParagraphFont"/>
    <w:link w:val="Header"/>
    <w:uiPriority w:val="99"/>
    <w:rsid w:val="00200F58"/>
    <w:rPr>
      <w:rFonts w:ascii="Times New Roman" w:hAnsi="Times New Roman"/>
    </w:rPr>
  </w:style>
  <w:style w:type="paragraph" w:styleId="Footer">
    <w:name w:val="footer"/>
    <w:basedOn w:val="Normal"/>
    <w:link w:val="FooterChar"/>
    <w:uiPriority w:val="99"/>
    <w:unhideWhenUsed/>
    <w:rsid w:val="00200F58"/>
    <w:pPr>
      <w:tabs>
        <w:tab w:val="center" w:pos="4513"/>
        <w:tab w:val="right" w:pos="9026"/>
      </w:tabs>
    </w:pPr>
  </w:style>
  <w:style w:type="character" w:customStyle="1" w:styleId="FooterChar">
    <w:name w:val="Footer Char"/>
    <w:basedOn w:val="DefaultParagraphFont"/>
    <w:link w:val="Footer"/>
    <w:uiPriority w:val="99"/>
    <w:rsid w:val="00200F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OVHA-DC01\UserData\General\Internal%20Performance%20Reports%20and%20Benchmarking\Performance%20Reports\Complaints\Complaints%202024-25\Complaints%20Trends%202024-25%20for%20CSC%20Report%20Q3%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OVHA-DC01\UserData\General\Internal%20Performance%20Reports%20and%20Benchmarking\Performance%20Reports\Complaints\Complaints%202024-25\Complaints%20Trends%202024-25%20for%20CSC%20Report%20Q3%20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OVHA-DC01\UserData\General\Internal%20Performance%20Reports%20and%20Benchmarking\Performance%20Reports\Complaints\Complaints%202024-25\Complaints%20Trends%202024-25%20for%20CSC%20Report%20Q3%20FIN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effectLst/>
                <a:latin typeface="Arial" panose="020B0604020202020204" pitchFamily="34" charset="0"/>
                <a:cs typeface="Arial" panose="020B0604020202020204" pitchFamily="34" charset="0"/>
              </a:rPr>
              <a:t>Complaints Received - 2022/23 to 2024/25 (per Quarter)</a:t>
            </a:r>
            <a:endParaRPr lang="en-GB" sz="14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Sheet1!$B$1</c:f>
              <c:strCache>
                <c:ptCount val="1"/>
                <c:pt idx="0">
                  <c:v>Stage 1</c:v>
                </c:pt>
              </c:strCache>
            </c:strRef>
          </c:tx>
          <c:spPr>
            <a:solidFill>
              <a:schemeClr val="accent1"/>
            </a:solidFill>
            <a:ln>
              <a:solidFill>
                <a:schemeClr val="accent5"/>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Sheet1!$B$2:$B$13</c:f>
              <c:numCache>
                <c:formatCode>General</c:formatCode>
                <c:ptCount val="12"/>
                <c:pt idx="0">
                  <c:v>24</c:v>
                </c:pt>
                <c:pt idx="1">
                  <c:v>38</c:v>
                </c:pt>
                <c:pt idx="2">
                  <c:v>44</c:v>
                </c:pt>
                <c:pt idx="3">
                  <c:v>46</c:v>
                </c:pt>
                <c:pt idx="4">
                  <c:v>60</c:v>
                </c:pt>
                <c:pt idx="5">
                  <c:v>64</c:v>
                </c:pt>
                <c:pt idx="6">
                  <c:v>71</c:v>
                </c:pt>
                <c:pt idx="7">
                  <c:v>57</c:v>
                </c:pt>
                <c:pt idx="8">
                  <c:v>32</c:v>
                </c:pt>
                <c:pt idx="9">
                  <c:v>40</c:v>
                </c:pt>
                <c:pt idx="10">
                  <c:v>34</c:v>
                </c:pt>
              </c:numCache>
            </c:numRef>
          </c:val>
          <c:extLst>
            <c:ext xmlns:c16="http://schemas.microsoft.com/office/drawing/2014/chart" uri="{C3380CC4-5D6E-409C-BE32-E72D297353CC}">
              <c16:uniqueId val="{00000000-B7E7-4A12-AF2F-48B8C2E6E3F8}"/>
            </c:ext>
          </c:extLst>
        </c:ser>
        <c:ser>
          <c:idx val="1"/>
          <c:order val="1"/>
          <c:tx>
            <c:strRef>
              <c:f>Sheet1!$C$1</c:f>
              <c:strCache>
                <c:ptCount val="1"/>
                <c:pt idx="0">
                  <c:v>Stage 2</c:v>
                </c:pt>
              </c:strCache>
            </c:strRef>
          </c:tx>
          <c:spPr>
            <a:solidFill>
              <a:schemeClr val="accent2"/>
            </a:solidFill>
            <a:ln>
              <a:solidFill>
                <a:srgbClr val="92D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Sheet1!$C$2:$C$13</c:f>
              <c:numCache>
                <c:formatCode>General</c:formatCode>
                <c:ptCount val="12"/>
                <c:pt idx="0">
                  <c:v>6</c:v>
                </c:pt>
                <c:pt idx="1">
                  <c:v>7</c:v>
                </c:pt>
                <c:pt idx="2">
                  <c:v>3</c:v>
                </c:pt>
                <c:pt idx="3">
                  <c:v>6</c:v>
                </c:pt>
                <c:pt idx="4">
                  <c:v>5</c:v>
                </c:pt>
                <c:pt idx="5">
                  <c:v>4</c:v>
                </c:pt>
                <c:pt idx="6">
                  <c:v>8</c:v>
                </c:pt>
                <c:pt idx="7">
                  <c:v>1</c:v>
                </c:pt>
                <c:pt idx="8">
                  <c:v>2</c:v>
                </c:pt>
                <c:pt idx="9">
                  <c:v>2</c:v>
                </c:pt>
                <c:pt idx="10">
                  <c:v>5</c:v>
                </c:pt>
              </c:numCache>
            </c:numRef>
          </c:val>
          <c:extLst>
            <c:ext xmlns:c16="http://schemas.microsoft.com/office/drawing/2014/chart" uri="{C3380CC4-5D6E-409C-BE32-E72D297353CC}">
              <c16:uniqueId val="{00000001-B7E7-4A12-AF2F-48B8C2E6E3F8}"/>
            </c:ext>
          </c:extLst>
        </c:ser>
        <c:dLbls>
          <c:showLegendKey val="0"/>
          <c:showVal val="0"/>
          <c:showCatName val="0"/>
          <c:showSerName val="0"/>
          <c:showPercent val="0"/>
          <c:showBubbleSize val="0"/>
        </c:dLbls>
        <c:gapWidth val="219"/>
        <c:overlap val="-27"/>
        <c:axId val="476780448"/>
        <c:axId val="476780776"/>
      </c:barChart>
      <c:catAx>
        <c:axId val="47678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780776"/>
        <c:crosses val="autoZero"/>
        <c:auto val="1"/>
        <c:lblAlgn val="ctr"/>
        <c:lblOffset val="100"/>
        <c:noMultiLvlLbl val="0"/>
      </c:catAx>
      <c:valAx>
        <c:axId val="476780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78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latin typeface="Arial" panose="020B0604020202020204" pitchFamily="34" charset="0"/>
                <a:cs typeface="Arial" panose="020B0604020202020204" pitchFamily="34" charset="0"/>
              </a:rPr>
              <a:t>Housing Services - Reason</a:t>
            </a:r>
            <a:r>
              <a:rPr lang="en-GB" baseline="0">
                <a:latin typeface="Arial" panose="020B0604020202020204" pitchFamily="34" charset="0"/>
                <a:cs typeface="Arial" panose="020B0604020202020204" pitchFamily="34" charset="0"/>
              </a:rPr>
              <a:t> for Complaint</a:t>
            </a:r>
            <a:endParaRPr lang="en-GB">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GB"/>
        </a:p>
      </c:txPr>
    </c:title>
    <c:autoTitleDeleted val="0"/>
    <c:plotArea>
      <c:layout/>
      <c:barChart>
        <c:barDir val="col"/>
        <c:grouping val="clustered"/>
        <c:varyColors val="0"/>
        <c:ser>
          <c:idx val="0"/>
          <c:order val="0"/>
          <c:tx>
            <c:strRef>
              <c:f>Sheet1!$B$17</c:f>
              <c:strCache>
                <c:ptCount val="1"/>
                <c:pt idx="0">
                  <c:v>Allocations</c:v>
                </c:pt>
              </c:strCache>
            </c:strRef>
          </c:tx>
          <c:spPr>
            <a:solidFill>
              <a:schemeClr val="accent1"/>
            </a:solidFill>
            <a:ln>
              <a:noFill/>
            </a:ln>
            <a:effectLst/>
          </c:spPr>
          <c:invertIfNegative val="0"/>
          <c:cat>
            <c:strRef>
              <c:f>Sheet1!$A$18:$A$29</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Sheet1!$B$18:$B$29</c:f>
              <c:numCache>
                <c:formatCode>General</c:formatCode>
                <c:ptCount val="12"/>
                <c:pt idx="0">
                  <c:v>1</c:v>
                </c:pt>
                <c:pt idx="1">
                  <c:v>3</c:v>
                </c:pt>
                <c:pt idx="2">
                  <c:v>1</c:v>
                </c:pt>
                <c:pt idx="3">
                  <c:v>3</c:v>
                </c:pt>
                <c:pt idx="4">
                  <c:v>1</c:v>
                </c:pt>
                <c:pt idx="5">
                  <c:v>2</c:v>
                </c:pt>
                <c:pt idx="6">
                  <c:v>0</c:v>
                </c:pt>
                <c:pt idx="7">
                  <c:v>0</c:v>
                </c:pt>
                <c:pt idx="8">
                  <c:v>1</c:v>
                </c:pt>
                <c:pt idx="9">
                  <c:v>1</c:v>
                </c:pt>
                <c:pt idx="10">
                  <c:v>2</c:v>
                </c:pt>
              </c:numCache>
            </c:numRef>
          </c:val>
          <c:extLst>
            <c:ext xmlns:c16="http://schemas.microsoft.com/office/drawing/2014/chart" uri="{C3380CC4-5D6E-409C-BE32-E72D297353CC}">
              <c16:uniqueId val="{00000000-18B0-4A44-ADDE-907C080D5BCE}"/>
            </c:ext>
          </c:extLst>
        </c:ser>
        <c:ser>
          <c:idx val="1"/>
          <c:order val="1"/>
          <c:tx>
            <c:strRef>
              <c:f>Sheet1!$C$17</c:f>
              <c:strCache>
                <c:ptCount val="1"/>
                <c:pt idx="0">
                  <c:v>Rent Arrears</c:v>
                </c:pt>
              </c:strCache>
            </c:strRef>
          </c:tx>
          <c:spPr>
            <a:solidFill>
              <a:schemeClr val="accent2"/>
            </a:solidFill>
            <a:ln>
              <a:noFill/>
            </a:ln>
            <a:effectLst/>
          </c:spPr>
          <c:invertIfNegative val="0"/>
          <c:cat>
            <c:strRef>
              <c:f>Sheet1!$A$18:$A$29</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Sheet1!$C$18:$C$29</c:f>
              <c:numCache>
                <c:formatCode>General</c:formatCode>
                <c:ptCount val="12"/>
                <c:pt idx="0">
                  <c:v>0</c:v>
                </c:pt>
                <c:pt idx="1">
                  <c:v>1</c:v>
                </c:pt>
                <c:pt idx="2">
                  <c:v>0</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1-18B0-4A44-ADDE-907C080D5BCE}"/>
            </c:ext>
          </c:extLst>
        </c:ser>
        <c:ser>
          <c:idx val="2"/>
          <c:order val="2"/>
          <c:tx>
            <c:strRef>
              <c:f>Sheet1!$D$17</c:f>
              <c:strCache>
                <c:ptCount val="1"/>
                <c:pt idx="0">
                  <c:v>Estate Management</c:v>
                </c:pt>
              </c:strCache>
            </c:strRef>
          </c:tx>
          <c:spPr>
            <a:solidFill>
              <a:schemeClr val="accent3"/>
            </a:solidFill>
            <a:ln>
              <a:noFill/>
            </a:ln>
            <a:effectLst/>
          </c:spPr>
          <c:invertIfNegative val="0"/>
          <c:cat>
            <c:strRef>
              <c:f>Sheet1!$A$18:$A$29</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Sheet1!$D$18:$D$29</c:f>
              <c:numCache>
                <c:formatCode>General</c:formatCode>
                <c:ptCount val="12"/>
                <c:pt idx="0">
                  <c:v>1</c:v>
                </c:pt>
                <c:pt idx="1">
                  <c:v>0</c:v>
                </c:pt>
                <c:pt idx="2">
                  <c:v>1</c:v>
                </c:pt>
                <c:pt idx="3">
                  <c:v>0</c:v>
                </c:pt>
                <c:pt idx="4">
                  <c:v>0</c:v>
                </c:pt>
                <c:pt idx="5">
                  <c:v>1</c:v>
                </c:pt>
                <c:pt idx="6">
                  <c:v>0</c:v>
                </c:pt>
                <c:pt idx="7">
                  <c:v>1</c:v>
                </c:pt>
                <c:pt idx="8">
                  <c:v>0</c:v>
                </c:pt>
                <c:pt idx="9">
                  <c:v>1</c:v>
                </c:pt>
                <c:pt idx="10">
                  <c:v>0</c:v>
                </c:pt>
              </c:numCache>
            </c:numRef>
          </c:val>
          <c:extLst>
            <c:ext xmlns:c16="http://schemas.microsoft.com/office/drawing/2014/chart" uri="{C3380CC4-5D6E-409C-BE32-E72D297353CC}">
              <c16:uniqueId val="{00000002-18B0-4A44-ADDE-907C080D5BCE}"/>
            </c:ext>
          </c:extLst>
        </c:ser>
        <c:ser>
          <c:idx val="3"/>
          <c:order val="3"/>
          <c:tx>
            <c:strRef>
              <c:f>Sheet1!$E$17</c:f>
              <c:strCache>
                <c:ptCount val="1"/>
                <c:pt idx="0">
                  <c:v>Void Management</c:v>
                </c:pt>
              </c:strCache>
            </c:strRef>
          </c:tx>
          <c:spPr>
            <a:solidFill>
              <a:schemeClr val="accent4"/>
            </a:solidFill>
            <a:ln>
              <a:noFill/>
            </a:ln>
            <a:effectLst/>
          </c:spPr>
          <c:invertIfNegative val="0"/>
          <c:cat>
            <c:strRef>
              <c:f>Sheet1!$A$18:$A$29</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Sheet1!$E$18:$E$29</c:f>
              <c:numCache>
                <c:formatCode>General</c:formatCode>
                <c:ptCount val="12"/>
                <c:pt idx="0">
                  <c:v>0</c:v>
                </c:pt>
                <c:pt idx="1">
                  <c:v>1</c:v>
                </c:pt>
                <c:pt idx="2">
                  <c:v>0</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3-18B0-4A44-ADDE-907C080D5BCE}"/>
            </c:ext>
          </c:extLst>
        </c:ser>
        <c:ser>
          <c:idx val="4"/>
          <c:order val="4"/>
          <c:tx>
            <c:strRef>
              <c:f>Sheet1!$F$17</c:f>
              <c:strCache>
                <c:ptCount val="1"/>
                <c:pt idx="0">
                  <c:v>AntiSocial Behaviour</c:v>
                </c:pt>
              </c:strCache>
            </c:strRef>
          </c:tx>
          <c:spPr>
            <a:solidFill>
              <a:schemeClr val="accent5"/>
            </a:solidFill>
            <a:ln>
              <a:noFill/>
            </a:ln>
            <a:effectLst/>
          </c:spPr>
          <c:invertIfNegative val="0"/>
          <c:cat>
            <c:strRef>
              <c:f>Sheet1!$A$18:$A$29</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Sheet1!$F$18:$F$29</c:f>
              <c:numCache>
                <c:formatCode>General</c:formatCode>
                <c:ptCount val="12"/>
                <c:pt idx="0">
                  <c:v>0</c:v>
                </c:pt>
                <c:pt idx="1">
                  <c:v>1</c:v>
                </c:pt>
                <c:pt idx="2">
                  <c:v>0</c:v>
                </c:pt>
                <c:pt idx="3">
                  <c:v>1</c:v>
                </c:pt>
                <c:pt idx="4">
                  <c:v>0</c:v>
                </c:pt>
                <c:pt idx="5">
                  <c:v>0</c:v>
                </c:pt>
                <c:pt idx="6">
                  <c:v>0</c:v>
                </c:pt>
                <c:pt idx="7">
                  <c:v>0</c:v>
                </c:pt>
                <c:pt idx="8">
                  <c:v>0</c:v>
                </c:pt>
                <c:pt idx="9">
                  <c:v>2</c:v>
                </c:pt>
                <c:pt idx="10">
                  <c:v>0</c:v>
                </c:pt>
              </c:numCache>
            </c:numRef>
          </c:val>
          <c:extLst>
            <c:ext xmlns:c16="http://schemas.microsoft.com/office/drawing/2014/chart" uri="{C3380CC4-5D6E-409C-BE32-E72D297353CC}">
              <c16:uniqueId val="{00000004-18B0-4A44-ADDE-907C080D5BCE}"/>
            </c:ext>
          </c:extLst>
        </c:ser>
        <c:ser>
          <c:idx val="5"/>
          <c:order val="5"/>
          <c:tx>
            <c:strRef>
              <c:f>Sheet1!$G$17</c:f>
              <c:strCache>
                <c:ptCount val="1"/>
                <c:pt idx="0">
                  <c:v>Rent Account</c:v>
                </c:pt>
              </c:strCache>
            </c:strRef>
          </c:tx>
          <c:spPr>
            <a:solidFill>
              <a:schemeClr val="accent6"/>
            </a:solidFill>
            <a:ln>
              <a:noFill/>
            </a:ln>
            <a:effectLst/>
          </c:spPr>
          <c:invertIfNegative val="0"/>
          <c:cat>
            <c:strRef>
              <c:f>Sheet1!$A$18:$A$29</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Sheet1!$G$18:$G$29</c:f>
              <c:numCache>
                <c:formatCode>General</c:formatCode>
                <c:ptCount val="12"/>
                <c:pt idx="0">
                  <c:v>0</c:v>
                </c:pt>
                <c:pt idx="1">
                  <c:v>0</c:v>
                </c:pt>
                <c:pt idx="2">
                  <c:v>0</c:v>
                </c:pt>
                <c:pt idx="3">
                  <c:v>1</c:v>
                </c:pt>
                <c:pt idx="4">
                  <c:v>1</c:v>
                </c:pt>
                <c:pt idx="5">
                  <c:v>1</c:v>
                </c:pt>
                <c:pt idx="6">
                  <c:v>0</c:v>
                </c:pt>
                <c:pt idx="7">
                  <c:v>0</c:v>
                </c:pt>
                <c:pt idx="8">
                  <c:v>0</c:v>
                </c:pt>
                <c:pt idx="9">
                  <c:v>0</c:v>
                </c:pt>
                <c:pt idx="10">
                  <c:v>1</c:v>
                </c:pt>
              </c:numCache>
            </c:numRef>
          </c:val>
          <c:extLst>
            <c:ext xmlns:c16="http://schemas.microsoft.com/office/drawing/2014/chart" uri="{C3380CC4-5D6E-409C-BE32-E72D297353CC}">
              <c16:uniqueId val="{00000005-18B0-4A44-ADDE-907C080D5BCE}"/>
            </c:ext>
          </c:extLst>
        </c:ser>
        <c:ser>
          <c:idx val="6"/>
          <c:order val="6"/>
          <c:tx>
            <c:strRef>
              <c:f>Sheet1!$H$17</c:f>
              <c:strCache>
                <c:ptCount val="1"/>
                <c:pt idx="0">
                  <c:v>Tenancy Management</c:v>
                </c:pt>
              </c:strCache>
            </c:strRef>
          </c:tx>
          <c:spPr>
            <a:solidFill>
              <a:schemeClr val="accent1">
                <a:lumMod val="60000"/>
              </a:schemeClr>
            </a:solidFill>
            <a:ln>
              <a:noFill/>
            </a:ln>
            <a:effectLst/>
          </c:spPr>
          <c:invertIfNegative val="0"/>
          <c:cat>
            <c:strRef>
              <c:f>Sheet1!$A$18:$A$29</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Sheet1!$H$18:$H$29</c:f>
              <c:numCache>
                <c:formatCode>General</c:formatCode>
                <c:ptCount val="12"/>
                <c:pt idx="0">
                  <c:v>0</c:v>
                </c:pt>
                <c:pt idx="1">
                  <c:v>0</c:v>
                </c:pt>
                <c:pt idx="2">
                  <c:v>0</c:v>
                </c:pt>
                <c:pt idx="3">
                  <c:v>0</c:v>
                </c:pt>
                <c:pt idx="4">
                  <c:v>0</c:v>
                </c:pt>
                <c:pt idx="5">
                  <c:v>0</c:v>
                </c:pt>
                <c:pt idx="6">
                  <c:v>5</c:v>
                </c:pt>
                <c:pt idx="7">
                  <c:v>1</c:v>
                </c:pt>
                <c:pt idx="8">
                  <c:v>1</c:v>
                </c:pt>
                <c:pt idx="9">
                  <c:v>3</c:v>
                </c:pt>
                <c:pt idx="10">
                  <c:v>0</c:v>
                </c:pt>
              </c:numCache>
            </c:numRef>
          </c:val>
          <c:extLst>
            <c:ext xmlns:c16="http://schemas.microsoft.com/office/drawing/2014/chart" uri="{C3380CC4-5D6E-409C-BE32-E72D297353CC}">
              <c16:uniqueId val="{00000006-18B0-4A44-ADDE-907C080D5BCE}"/>
            </c:ext>
          </c:extLst>
        </c:ser>
        <c:dLbls>
          <c:showLegendKey val="0"/>
          <c:showVal val="0"/>
          <c:showCatName val="0"/>
          <c:showSerName val="0"/>
          <c:showPercent val="0"/>
          <c:showBubbleSize val="0"/>
        </c:dLbls>
        <c:gapWidth val="219"/>
        <c:overlap val="-27"/>
        <c:axId val="713524912"/>
        <c:axId val="713525240"/>
      </c:barChart>
      <c:catAx>
        <c:axId val="71352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3525240"/>
        <c:crosses val="autoZero"/>
        <c:auto val="1"/>
        <c:lblAlgn val="ctr"/>
        <c:lblOffset val="100"/>
        <c:noMultiLvlLbl val="0"/>
      </c:catAx>
      <c:valAx>
        <c:axId val="713525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3524912"/>
        <c:crosses val="autoZero"/>
        <c:crossBetween val="between"/>
        <c:majorUnit val="1"/>
      </c:valAx>
      <c:spPr>
        <a:noFill/>
        <a:ln>
          <a:noFill/>
        </a:ln>
        <a:effectLst/>
      </c:spPr>
    </c:plotArea>
    <c:legend>
      <c:legendPos val="b"/>
      <c:layout>
        <c:manualLayout>
          <c:xMode val="edge"/>
          <c:yMode val="edge"/>
          <c:x val="4.2304945836634328E-2"/>
          <c:y val="0.9523803981921487"/>
          <c:w val="0.82683509748673456"/>
          <c:h val="3.54587035668993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latin typeface="Arial" panose="020B0604020202020204" pitchFamily="34" charset="0"/>
                <a:cs typeface="Arial" panose="020B0604020202020204" pitchFamily="34" charset="0"/>
              </a:rPr>
              <a:t>Property Services - Reason for Complaint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2.7303944908865948E-2"/>
          <c:y val="8.4910134002326762E-2"/>
          <c:w val="0.95765650440279626"/>
          <c:h val="0.67486139286855296"/>
        </c:manualLayout>
      </c:layout>
      <c:barChart>
        <c:barDir val="col"/>
        <c:grouping val="clustered"/>
        <c:varyColors val="0"/>
        <c:ser>
          <c:idx val="0"/>
          <c:order val="0"/>
          <c:tx>
            <c:strRef>
              <c:f>Sheet1!$B$32</c:f>
              <c:strCache>
                <c:ptCount val="1"/>
                <c:pt idx="0">
                  <c:v>Reactive Repairs</c:v>
                </c:pt>
              </c:strCache>
            </c:strRef>
          </c:tx>
          <c:spPr>
            <a:solidFill>
              <a:schemeClr val="accent1"/>
            </a:solidFill>
            <a:ln>
              <a:noFill/>
            </a:ln>
            <a:effectLst/>
          </c:spPr>
          <c:invertIfNegative val="0"/>
          <c:cat>
            <c:strRef>
              <c:f>Sheet1!$A$33:$A$44</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Sheet1!$B$33:$B$44</c:f>
              <c:numCache>
                <c:formatCode>General</c:formatCode>
                <c:ptCount val="12"/>
                <c:pt idx="0">
                  <c:v>19</c:v>
                </c:pt>
                <c:pt idx="1">
                  <c:v>22</c:v>
                </c:pt>
                <c:pt idx="2">
                  <c:v>37</c:v>
                </c:pt>
                <c:pt idx="3">
                  <c:v>35</c:v>
                </c:pt>
                <c:pt idx="4">
                  <c:v>45</c:v>
                </c:pt>
                <c:pt idx="5">
                  <c:v>55</c:v>
                </c:pt>
                <c:pt idx="6">
                  <c:v>61</c:v>
                </c:pt>
                <c:pt idx="7">
                  <c:v>52</c:v>
                </c:pt>
                <c:pt idx="8">
                  <c:v>21</c:v>
                </c:pt>
                <c:pt idx="9">
                  <c:v>22</c:v>
                </c:pt>
                <c:pt idx="10">
                  <c:v>21</c:v>
                </c:pt>
              </c:numCache>
            </c:numRef>
          </c:val>
          <c:extLst>
            <c:ext xmlns:c16="http://schemas.microsoft.com/office/drawing/2014/chart" uri="{C3380CC4-5D6E-409C-BE32-E72D297353CC}">
              <c16:uniqueId val="{00000000-76CA-4B44-9661-EA935E0C4BE0}"/>
            </c:ext>
          </c:extLst>
        </c:ser>
        <c:ser>
          <c:idx val="1"/>
          <c:order val="1"/>
          <c:tx>
            <c:strRef>
              <c:f>Sheet1!$C$32</c:f>
              <c:strCache>
                <c:ptCount val="1"/>
                <c:pt idx="0">
                  <c:v>Investment Programme</c:v>
                </c:pt>
              </c:strCache>
            </c:strRef>
          </c:tx>
          <c:spPr>
            <a:solidFill>
              <a:schemeClr val="accent2"/>
            </a:solidFill>
            <a:ln>
              <a:noFill/>
            </a:ln>
            <a:effectLst/>
          </c:spPr>
          <c:invertIfNegative val="0"/>
          <c:cat>
            <c:strRef>
              <c:f>Sheet1!$A$33:$A$44</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Sheet1!$C$33:$C$44</c:f>
              <c:numCache>
                <c:formatCode>General</c:formatCode>
                <c:ptCount val="12"/>
                <c:pt idx="0">
                  <c:v>4</c:v>
                </c:pt>
                <c:pt idx="1">
                  <c:v>1</c:v>
                </c:pt>
                <c:pt idx="2">
                  <c:v>3</c:v>
                </c:pt>
                <c:pt idx="3">
                  <c:v>3</c:v>
                </c:pt>
                <c:pt idx="4">
                  <c:v>5</c:v>
                </c:pt>
                <c:pt idx="5">
                  <c:v>2</c:v>
                </c:pt>
                <c:pt idx="6">
                  <c:v>0</c:v>
                </c:pt>
                <c:pt idx="7">
                  <c:v>0</c:v>
                </c:pt>
                <c:pt idx="8">
                  <c:v>1</c:v>
                </c:pt>
                <c:pt idx="9">
                  <c:v>5</c:v>
                </c:pt>
                <c:pt idx="10">
                  <c:v>1</c:v>
                </c:pt>
              </c:numCache>
            </c:numRef>
          </c:val>
          <c:extLst>
            <c:ext xmlns:c16="http://schemas.microsoft.com/office/drawing/2014/chart" uri="{C3380CC4-5D6E-409C-BE32-E72D297353CC}">
              <c16:uniqueId val="{00000001-76CA-4B44-9661-EA935E0C4BE0}"/>
            </c:ext>
          </c:extLst>
        </c:ser>
        <c:ser>
          <c:idx val="2"/>
          <c:order val="2"/>
          <c:tx>
            <c:strRef>
              <c:f>Sheet1!$D$32</c:f>
              <c:strCache>
                <c:ptCount val="1"/>
                <c:pt idx="0">
                  <c:v>Services</c:v>
                </c:pt>
              </c:strCache>
            </c:strRef>
          </c:tx>
          <c:spPr>
            <a:solidFill>
              <a:schemeClr val="accent3"/>
            </a:solidFill>
            <a:ln>
              <a:noFill/>
            </a:ln>
            <a:effectLst/>
          </c:spPr>
          <c:invertIfNegative val="0"/>
          <c:cat>
            <c:strRef>
              <c:f>Sheet1!$A$33:$A$44</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Sheet1!$D$33:$D$44</c:f>
              <c:numCache>
                <c:formatCode>General</c:formatCode>
                <c:ptCount val="12"/>
                <c:pt idx="0">
                  <c:v>2</c:v>
                </c:pt>
                <c:pt idx="1">
                  <c:v>8</c:v>
                </c:pt>
                <c:pt idx="2">
                  <c:v>1</c:v>
                </c:pt>
                <c:pt idx="3">
                  <c:v>4</c:v>
                </c:pt>
                <c:pt idx="4">
                  <c:v>5</c:v>
                </c:pt>
                <c:pt idx="5">
                  <c:v>3</c:v>
                </c:pt>
                <c:pt idx="6">
                  <c:v>6</c:v>
                </c:pt>
                <c:pt idx="7">
                  <c:v>3</c:v>
                </c:pt>
                <c:pt idx="8">
                  <c:v>7</c:v>
                </c:pt>
                <c:pt idx="9">
                  <c:v>6</c:v>
                </c:pt>
                <c:pt idx="10">
                  <c:v>3</c:v>
                </c:pt>
              </c:numCache>
            </c:numRef>
          </c:val>
          <c:extLst>
            <c:ext xmlns:c16="http://schemas.microsoft.com/office/drawing/2014/chart" uri="{C3380CC4-5D6E-409C-BE32-E72D297353CC}">
              <c16:uniqueId val="{00000002-76CA-4B44-9661-EA935E0C4BE0}"/>
            </c:ext>
          </c:extLst>
        </c:ser>
        <c:ser>
          <c:idx val="3"/>
          <c:order val="3"/>
          <c:tx>
            <c:strRef>
              <c:f>Sheet1!$E$32</c:f>
              <c:strCache>
                <c:ptCount val="1"/>
                <c:pt idx="0">
                  <c:v>Void Management</c:v>
                </c:pt>
              </c:strCache>
            </c:strRef>
          </c:tx>
          <c:spPr>
            <a:solidFill>
              <a:schemeClr val="accent4"/>
            </a:solidFill>
            <a:ln>
              <a:noFill/>
            </a:ln>
            <a:effectLst/>
          </c:spPr>
          <c:invertIfNegative val="0"/>
          <c:cat>
            <c:strRef>
              <c:f>Sheet1!$A$33:$A$44</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Sheet1!$E$33:$E$44</c:f>
              <c:numCache>
                <c:formatCode>General</c:formatCode>
                <c:ptCount val="12"/>
                <c:pt idx="0">
                  <c:v>0</c:v>
                </c:pt>
                <c:pt idx="1">
                  <c:v>3</c:v>
                </c:pt>
                <c:pt idx="2">
                  <c:v>1</c:v>
                </c:pt>
                <c:pt idx="3">
                  <c:v>3</c:v>
                </c:pt>
                <c:pt idx="4">
                  <c:v>1</c:v>
                </c:pt>
                <c:pt idx="5">
                  <c:v>0</c:v>
                </c:pt>
                <c:pt idx="6">
                  <c:v>2</c:v>
                </c:pt>
                <c:pt idx="7">
                  <c:v>1</c:v>
                </c:pt>
                <c:pt idx="8">
                  <c:v>1</c:v>
                </c:pt>
                <c:pt idx="9">
                  <c:v>0</c:v>
                </c:pt>
                <c:pt idx="10">
                  <c:v>1</c:v>
                </c:pt>
              </c:numCache>
            </c:numRef>
          </c:val>
          <c:extLst>
            <c:ext xmlns:c16="http://schemas.microsoft.com/office/drawing/2014/chart" uri="{C3380CC4-5D6E-409C-BE32-E72D297353CC}">
              <c16:uniqueId val="{00000003-76CA-4B44-9661-EA935E0C4BE0}"/>
            </c:ext>
          </c:extLst>
        </c:ser>
        <c:ser>
          <c:idx val="4"/>
          <c:order val="4"/>
          <c:tx>
            <c:strRef>
              <c:f>Sheet1!$F$32</c:f>
              <c:strCache>
                <c:ptCount val="1"/>
                <c:pt idx="0">
                  <c:v>Recharges</c:v>
                </c:pt>
              </c:strCache>
            </c:strRef>
          </c:tx>
          <c:spPr>
            <a:solidFill>
              <a:schemeClr val="accent5"/>
            </a:solidFill>
            <a:ln>
              <a:noFill/>
            </a:ln>
            <a:effectLst/>
          </c:spPr>
          <c:invertIfNegative val="0"/>
          <c:cat>
            <c:strRef>
              <c:f>Sheet1!$A$33:$A$44</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Sheet1!$F$33:$F$44</c:f>
              <c:numCache>
                <c:formatCode>General</c:formatCode>
                <c:ptCount val="12"/>
                <c:pt idx="0">
                  <c:v>1</c:v>
                </c:pt>
                <c:pt idx="1">
                  <c:v>3</c:v>
                </c:pt>
                <c:pt idx="2">
                  <c:v>3</c:v>
                </c:pt>
                <c:pt idx="3">
                  <c:v>2</c:v>
                </c:pt>
                <c:pt idx="4">
                  <c:v>4</c:v>
                </c:pt>
                <c:pt idx="5">
                  <c:v>1</c:v>
                </c:pt>
                <c:pt idx="6">
                  <c:v>5</c:v>
                </c:pt>
                <c:pt idx="7">
                  <c:v>0</c:v>
                </c:pt>
                <c:pt idx="8">
                  <c:v>2</c:v>
                </c:pt>
                <c:pt idx="9">
                  <c:v>1</c:v>
                </c:pt>
                <c:pt idx="10">
                  <c:v>7</c:v>
                </c:pt>
              </c:numCache>
            </c:numRef>
          </c:val>
          <c:extLst>
            <c:ext xmlns:c16="http://schemas.microsoft.com/office/drawing/2014/chart" uri="{C3380CC4-5D6E-409C-BE32-E72D297353CC}">
              <c16:uniqueId val="{00000004-76CA-4B44-9661-EA935E0C4BE0}"/>
            </c:ext>
          </c:extLst>
        </c:ser>
        <c:ser>
          <c:idx val="5"/>
          <c:order val="5"/>
          <c:tx>
            <c:strRef>
              <c:f>Sheet1!$G$32</c:f>
              <c:strCache>
                <c:ptCount val="1"/>
                <c:pt idx="0">
                  <c:v>Factoring</c:v>
                </c:pt>
              </c:strCache>
            </c:strRef>
          </c:tx>
          <c:spPr>
            <a:solidFill>
              <a:schemeClr val="accent6"/>
            </a:solidFill>
            <a:ln>
              <a:noFill/>
            </a:ln>
            <a:effectLst/>
          </c:spPr>
          <c:invertIfNegative val="0"/>
          <c:cat>
            <c:strRef>
              <c:f>Sheet1!$A$33:$A$44</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Sheet1!$G$33:$G$44</c:f>
              <c:numCache>
                <c:formatCode>General</c:formatCode>
                <c:ptCount val="12"/>
                <c:pt idx="0">
                  <c:v>0</c:v>
                </c:pt>
                <c:pt idx="1">
                  <c:v>2</c:v>
                </c:pt>
                <c:pt idx="2">
                  <c:v>0</c:v>
                </c:pt>
                <c:pt idx="3">
                  <c:v>0</c:v>
                </c:pt>
                <c:pt idx="4">
                  <c:v>0</c:v>
                </c:pt>
                <c:pt idx="5">
                  <c:v>1</c:v>
                </c:pt>
                <c:pt idx="6">
                  <c:v>0</c:v>
                </c:pt>
                <c:pt idx="7">
                  <c:v>0</c:v>
                </c:pt>
                <c:pt idx="8">
                  <c:v>0</c:v>
                </c:pt>
                <c:pt idx="9">
                  <c:v>1</c:v>
                </c:pt>
                <c:pt idx="10">
                  <c:v>3</c:v>
                </c:pt>
              </c:numCache>
            </c:numRef>
          </c:val>
          <c:extLst>
            <c:ext xmlns:c16="http://schemas.microsoft.com/office/drawing/2014/chart" uri="{C3380CC4-5D6E-409C-BE32-E72D297353CC}">
              <c16:uniqueId val="{00000005-76CA-4B44-9661-EA935E0C4BE0}"/>
            </c:ext>
          </c:extLst>
        </c:ser>
        <c:ser>
          <c:idx val="6"/>
          <c:order val="6"/>
          <c:tx>
            <c:strRef>
              <c:f>Sheet1!$H$32</c:f>
              <c:strCache>
                <c:ptCount val="1"/>
                <c:pt idx="0">
                  <c:v>Defects</c:v>
                </c:pt>
              </c:strCache>
            </c:strRef>
          </c:tx>
          <c:spPr>
            <a:solidFill>
              <a:schemeClr val="accent1">
                <a:lumMod val="60000"/>
              </a:schemeClr>
            </a:solidFill>
            <a:ln>
              <a:noFill/>
            </a:ln>
            <a:effectLst/>
          </c:spPr>
          <c:invertIfNegative val="0"/>
          <c:cat>
            <c:strRef>
              <c:f>Sheet1!$A$33:$A$44</c:f>
              <c:strCache>
                <c:ptCount val="12"/>
                <c:pt idx="0">
                  <c:v>Q1 2022/23</c:v>
                </c:pt>
                <c:pt idx="1">
                  <c:v>Q2 2022/23</c:v>
                </c:pt>
                <c:pt idx="2">
                  <c:v>Q3 2022/23</c:v>
                </c:pt>
                <c:pt idx="3">
                  <c:v>Q4 2022/23</c:v>
                </c:pt>
                <c:pt idx="4">
                  <c:v>Q1 2023/24</c:v>
                </c:pt>
                <c:pt idx="5">
                  <c:v>Q2 2023/24</c:v>
                </c:pt>
                <c:pt idx="6">
                  <c:v>Q3 2023/24</c:v>
                </c:pt>
                <c:pt idx="7">
                  <c:v>Q4 2023/24</c:v>
                </c:pt>
                <c:pt idx="8">
                  <c:v>Q1 2024/25</c:v>
                </c:pt>
                <c:pt idx="9">
                  <c:v>Q2 2024/25</c:v>
                </c:pt>
                <c:pt idx="10">
                  <c:v>Q3 2024/25</c:v>
                </c:pt>
                <c:pt idx="11">
                  <c:v>Q4 2024/25</c:v>
                </c:pt>
              </c:strCache>
            </c:strRef>
          </c:cat>
          <c:val>
            <c:numRef>
              <c:f>Sheet1!$H$33:$H$44</c:f>
              <c:numCache>
                <c:formatCode>General</c:formatCode>
                <c:ptCount val="12"/>
                <c:pt idx="0">
                  <c:v>2</c:v>
                </c:pt>
                <c:pt idx="1">
                  <c:v>0</c:v>
                </c:pt>
                <c:pt idx="2">
                  <c:v>0</c:v>
                </c:pt>
                <c:pt idx="3">
                  <c:v>0</c:v>
                </c:pt>
                <c:pt idx="4">
                  <c:v>3</c:v>
                </c:pt>
                <c:pt idx="5">
                  <c:v>2</c:v>
                </c:pt>
                <c:pt idx="6">
                  <c:v>0</c:v>
                </c:pt>
                <c:pt idx="7">
                  <c:v>0</c:v>
                </c:pt>
                <c:pt idx="8">
                  <c:v>0</c:v>
                </c:pt>
                <c:pt idx="9">
                  <c:v>0</c:v>
                </c:pt>
                <c:pt idx="10">
                  <c:v>0</c:v>
                </c:pt>
              </c:numCache>
            </c:numRef>
          </c:val>
          <c:extLst>
            <c:ext xmlns:c16="http://schemas.microsoft.com/office/drawing/2014/chart" uri="{C3380CC4-5D6E-409C-BE32-E72D297353CC}">
              <c16:uniqueId val="{00000006-76CA-4B44-9661-EA935E0C4BE0}"/>
            </c:ext>
          </c:extLst>
        </c:ser>
        <c:dLbls>
          <c:showLegendKey val="0"/>
          <c:showVal val="0"/>
          <c:showCatName val="0"/>
          <c:showSerName val="0"/>
          <c:showPercent val="0"/>
          <c:showBubbleSize val="0"/>
        </c:dLbls>
        <c:gapWidth val="219"/>
        <c:overlap val="-27"/>
        <c:axId val="477609944"/>
        <c:axId val="477611256"/>
      </c:barChart>
      <c:catAx>
        <c:axId val="477609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611256"/>
        <c:crosses val="autoZero"/>
        <c:auto val="1"/>
        <c:lblAlgn val="ctr"/>
        <c:lblOffset val="100"/>
        <c:noMultiLvlLbl val="0"/>
      </c:catAx>
      <c:valAx>
        <c:axId val="477611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609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9</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McLaren</dc:creator>
  <cp:keywords/>
  <dc:description/>
  <cp:lastModifiedBy>Andrew Gibb</cp:lastModifiedBy>
  <cp:revision>119</cp:revision>
  <cp:lastPrinted>2023-01-27T14:49:00Z</cp:lastPrinted>
  <dcterms:created xsi:type="dcterms:W3CDTF">2020-11-04T14:53:00Z</dcterms:created>
  <dcterms:modified xsi:type="dcterms:W3CDTF">2025-02-13T15:39:00Z</dcterms:modified>
</cp:coreProperties>
</file>